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color w:val="1B4F7A"/>
          <w:sz w:val="52"/>
          <w:szCs w:val="52"/>
        </w:rPr>
        <w:t xml:space="preserve">THE GRAIL COLLECTOR</w:t>
      </w:r>
    </w:p>
    <w:p>
      <w:pPr>
        <w:spacing w:after="400"/>
        <w:jc w:val="center"/>
      </w:pPr>
      <w:r>
        <w:rPr>
          <w:color w:val="1F2124"/>
          <w:sz w:val="36"/>
          <w:szCs w:val="36"/>
        </w:rPr>
        <w:t xml:space="preserve">CAD Model Report</w:t>
      </w:r>
    </w:p>
    <w:p>
      <w:pPr>
        <w:spacing w:after="600"/>
        <w:jc w:val="center"/>
      </w:pPr>
      <w:r>
        <w:rPr>
          <w:color w:val="4A4D52"/>
          <w:sz w:val="22"/>
          <w:szCs w:val="22"/>
        </w:rPr>
        <w:t xml:space="preserve">Geometry of the advanced flat-plate solar thermal collector: the as-built assembly, the converging roll-bond absorber, and the twelve geometric invariants the CFD work was gated on.</w:t>
      </w:r>
    </w:p>
    <w:p>
      <w:pPr>
        <w:spacing w:after="400"/>
      </w:pP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3707"/>
        <w:gridCol w:w="5931"/>
      </w:tblGrid>
      <w:tr>
        <w:trPr>
          <w:cantSplit/>
          <w:tblHeader/>
        </w:trPr>
        <w:tc>
          <w:tcPr>
            <w:tcW w:type="dxa" w:w="370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Item</w:t>
            </w:r>
          </w:p>
        </w:tc>
        <w:tc>
          <w:tcPr>
            <w:tcW w:type="dxa" w:w="593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Source model</w:t>
            </w:r>
          </w:p>
        </w:tc>
        <w:tc>
          <w:tcPr>
            <w:tcW w:type="dxa" w:w="5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Grail_Collector_2.step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MD5 checksum</w:t>
            </w:r>
          </w:p>
        </w:tc>
        <w:tc>
          <w:tcPr>
            <w:tcW w:type="dxa" w:w="593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e3ca020c159abf017138feabe8811e05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Solids in the STEP file</w:t>
            </w:r>
          </w:p>
        </w:tc>
        <w:tc>
          <w:tcPr>
            <w:tcW w:type="dxa" w:w="5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129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Solids carried into the CFD model</w:t>
            </w:r>
          </w:p>
        </w:tc>
        <w:tc>
          <w:tcPr>
            <w:tcW w:type="dxa" w:w="593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128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Overall envelope</w:t>
            </w:r>
          </w:p>
        </w:tc>
        <w:tc>
          <w:tcPr>
            <w:tcW w:type="dxa" w:w="5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1270.0 × 636.0 × 148.0 mm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Total solid volume</w:t>
            </w:r>
          </w:p>
        </w:tc>
        <w:tc>
          <w:tcPr>
            <w:tcW w:type="dxa" w:w="593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37,101,266 mm³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Absorber channels</w:t>
            </w:r>
          </w:p>
        </w:tc>
        <w:tc>
          <w:tcPr>
            <w:tcW w:type="dxa" w:w="5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12, converging, 40 mm pitch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Geometry acceptance gate</w:t>
            </w:r>
          </w:p>
        </w:tc>
        <w:tc>
          <w:tcPr>
            <w:tcW w:type="dxa" w:w="593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 invariants checked, 12 PASS, 0 FAIL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Measurement method</w:t>
            </w:r>
          </w:p>
        </w:tc>
        <w:tc>
          <w:tcPr>
            <w:tcW w:type="dxa" w:w="5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 evaluation, h-refined to convergence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color w:val="4A4D52"/>
          <w:sz w:val="19"/>
          <w:szCs w:val="19"/>
        </w:rPr>
        <w:t xml:space="preserve">B.Tech thesis supporting document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276" w:lineRule="auto"/>
      </w:pPr>
      <w:r>
        <w:rPr>
          <w:i/>
          <w:iCs/>
          <w:color w:val="4A4D52"/>
          <w:sz w:val="18"/>
          <w:szCs w:val="18"/>
        </w:rPr>
        <w:t xml:space="preserve">If the contents list shows a placeholder, open it in Word and press F9 to build it.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1. What the model is</w:t>
      </w:r>
    </w:p>
    <w:p>
      <w:pPr>
        <w:spacing w:after="120" w:before="0" w:line="276" w:lineRule="auto"/>
      </w:pPr>
      <w:r>
        <w:t xml:space="preserve">The GRAIL Collector is an advanced flat-plate solar thermal collector. Four features distinguish it from a conventional flat-plate collector, and all four are present in the CAD model: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b/>
          <w:bCs/>
        </w:rPr>
        <w:t xml:space="preserve">A converging roll-bond absorber. </w:t>
      </w:r>
      <w:r>
        <w:t xml:space="preserve">Twelve channels are formed between two bonded aluminium sheets. Each channel narrows continuously along the flow: the hydraulic diameter falls from 5.199 mm at the inlet to 2.807 mm at the outlet.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b/>
          <w:bCs/>
        </w:rPr>
        <w:t xml:space="preserve">Alternating counter-current flow. </w:t>
      </w:r>
      <w:r>
        <w:t xml:space="preserve">Adjacent channels are fed from opposite ends, so each channel has a neighbour running the other way. Neighbouring channels converge in opposite directions, which is why the manifolds are mirrored left and right.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b/>
          <w:bCs/>
        </w:rPr>
        <w:t xml:space="preserve">Transparent insulation and double glazing. </w:t>
      </w:r>
      <w:r>
        <w:t xml:space="preserve">A 10 mm polycarbonate honeycomb panel sits between two glass panes and the absorber, with a thermotropic layer on the outer pane.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b/>
          <w:bCs/>
        </w:rPr>
        <w:t xml:space="preserve">A graded phase-change storage tray. </w:t>
      </w:r>
      <w:r>
        <w:t xml:space="preserve">Seven PCM zones of increasing depth lie under the absorber, 7.1 mm at one end rising to 12.9 mm at the other.</w:t>
      </w:r>
    </w:p>
    <w:p>
      <w:pPr>
        <w:pStyle w:val="Heading2"/>
        <w:keepNext/>
        <w:spacing w:after="120" w:before="280"/>
      </w:pPr>
      <w:r>
        <w:t xml:space="preserve">1.1 The source file</w:t>
      </w:r>
    </w:p>
    <w:p>
      <w:pPr>
        <w:spacing w:after="120" w:before="0" w:line="276" w:lineRule="auto"/>
      </w:pPr>
      <w:r>
        <w:t xml:space="preserve">Everything in this report is measured from a single file. Nothing is taken from a drawing, a specification sheet, or a previous revision.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File: </w:t>
      </w:r>
      <w:r>
        <w:t xml:space="preserve">Grail_Collector_2.step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MD5: </w:t>
      </w:r>
      <w:r>
        <w:t xml:space="preserve">e3ca020c159abf017138feabe8811e05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Contents: </w:t>
      </w:r>
      <w:r>
        <w:t xml:space="preserve">129 solids in a named assembly tree, total volume 37,101,266 mm³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Envelope: </w:t>
      </w:r>
      <w:r>
        <w:t xml:space="preserve">1270.0 mm × 636.0 mm × 148.0 mm</w:t>
      </w:r>
    </w:p>
    <w:p>
      <w:pPr>
        <w:spacing w:after="120" w:before="0" w:line="276" w:lineRule="auto"/>
      </w:pPr>
      <w:r>
        <w:t xml:space="preserve">The model was read with the OpenCASCADE kernel through gmsh 4.15.2. Every dimension quoted below was obtained by evaluating the CAD surfaces directly, not by reading a dimension off a drawing. Section 4 explains why this distinction turned out to matter a great deal.</w:t>
      </w:r>
    </w:p>
    <w:p>
      <w:pPr>
        <w:spacing w:after="40" w:before="160"/>
        <w:jc w:val="center"/>
      </w:pPr>
      <w:r>
        <w:drawing>
          <wp:inline distT="0" distB="0" distL="0" distR="0">
            <wp:extent cx="61245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1 — The complete collector assembly, tessellated. 128 of the 129 solids, 299,544 triangles, 17.39 m² of tessellated surface.</w:t>
      </w:r>
    </w:p>
    <w:p>
      <w:pPr>
        <w:pStyle w:val="Heading1"/>
        <w:keepNext/>
        <w:spacing w:after="160" w:before="360"/>
      </w:pPr>
      <w:r>
        <w:t xml:space="preserve">2. The assembly, group by group</w:t>
      </w:r>
    </w:p>
    <w:p>
      <w:pPr>
        <w:spacing w:after="120" w:before="0" w:line="276" w:lineRule="auto"/>
      </w:pPr>
      <w:r>
        <w:t xml:space="preserve">The STEP tree organises the 129 solids into ten named groups plus the fluid-void reference bodies. The table below is a direct summary of that tree.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1 — Assembly groups, counted and totalled from the STEP file.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2835"/>
        <w:gridCol w:w="945"/>
        <w:gridCol w:w="1701"/>
        <w:gridCol w:w="4157"/>
      </w:tblGrid>
      <w:tr>
        <w:trPr>
          <w:cantSplit/>
          <w:tblHeader/>
        </w:trPr>
        <w:tc>
          <w:tcPr>
            <w:tcW w:type="dxa" w:w="283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Group</w:t>
            </w:r>
          </w:p>
        </w:tc>
        <w:tc>
          <w:tcPr>
            <w:tcW w:type="dxa" w:w="94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Solids</w:t>
            </w:r>
          </w:p>
        </w:tc>
        <w:tc>
          <w:tcPr>
            <w:tcW w:type="dxa" w:w="170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Volume (mm³)</w:t>
            </w:r>
          </w:p>
        </w:tc>
        <w:tc>
          <w:tcPr>
            <w:tcW w:type="dxa" w:w="415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What it is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06_INSULATION</w:t>
            </w:r>
          </w:p>
        </w:tc>
        <w:tc>
          <w:tcPr>
            <w:tcW w:type="dxa" w:w="9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</w:t>
            </w:r>
          </w:p>
        </w:tc>
        <w:tc>
          <w:tcPr>
            <w:tcW w:type="dxa" w:w="17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11,794,743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VIP rear panel and four edge strips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01_GLAZING</w:t>
            </w:r>
          </w:p>
        </w:tc>
        <w:tc>
          <w:tcPr>
            <w:tcW w:type="dxa" w:w="9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17</w:t>
            </w:r>
          </w:p>
        </w:tc>
        <w:tc>
          <w:tcPr>
            <w:tcW w:type="dxa" w:w="170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5,978,449</w:t>
            </w:r>
          </w:p>
        </w:tc>
        <w:tc>
          <w:tcPr>
            <w:tcW w:type="dxa" w:w="415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Two panes, thermotropic layer, manifolds, 12 ports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05_PCM_TRAY</w:t>
            </w:r>
          </w:p>
        </w:tc>
        <w:tc>
          <w:tcPr>
            <w:tcW w:type="dxa" w:w="9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9</w:t>
            </w:r>
          </w:p>
        </w:tc>
        <w:tc>
          <w:tcPr>
            <w:tcW w:type="dxa" w:w="17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5,939,571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Seven graded PCM zones, graphite layer, containment tray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02_TIM</w:t>
            </w:r>
          </w:p>
        </w:tc>
        <w:tc>
          <w:tcPr>
            <w:tcW w:type="dxa" w:w="9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</w:t>
            </w:r>
          </w:p>
        </w:tc>
        <w:tc>
          <w:tcPr>
            <w:tcW w:type="dxa" w:w="170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5,368,000</w:t>
            </w:r>
          </w:p>
        </w:tc>
        <w:tc>
          <w:tcPr>
            <w:tcW w:type="dxa" w:w="415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Polycarbonate honeycomb panel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00_FRAME</w:t>
            </w:r>
          </w:p>
        </w:tc>
        <w:tc>
          <w:tcPr>
            <w:tcW w:type="dxa" w:w="9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26</w:t>
            </w:r>
          </w:p>
        </w:tc>
        <w:tc>
          <w:tcPr>
            <w:tcW w:type="dxa" w:w="17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3,040,032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Side rails, corner blocks, bezel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10_MOUNTING</w:t>
            </w:r>
          </w:p>
        </w:tc>
        <w:tc>
          <w:tcPr>
            <w:tcW w:type="dxa" w:w="9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14</w:t>
            </w:r>
          </w:p>
        </w:tc>
        <w:tc>
          <w:tcPr>
            <w:tcW w:type="dxa" w:w="170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2,362,358</w:t>
            </w:r>
          </w:p>
        </w:tc>
        <w:tc>
          <w:tcPr>
            <w:tcW w:type="dxa" w:w="415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Brackets and rails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03_ABSORBER_ASSEMBLY</w:t>
            </w:r>
          </w:p>
        </w:tc>
        <w:tc>
          <w:tcPr>
            <w:tcW w:type="dxa" w:w="9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</w:t>
            </w:r>
          </w:p>
        </w:tc>
        <w:tc>
          <w:tcPr>
            <w:tcW w:type="dxa" w:w="17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1,126,470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Lower sheet, upper sheet, selective coating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07_BACKSHEET</w:t>
            </w:r>
          </w:p>
        </w:tc>
        <w:tc>
          <w:tcPr>
            <w:tcW w:type="dxa" w:w="9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</w:t>
            </w:r>
          </w:p>
        </w:tc>
        <w:tc>
          <w:tcPr>
            <w:tcW w:type="dxa" w:w="170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710,007</w:t>
            </w:r>
          </w:p>
        </w:tc>
        <w:tc>
          <w:tcPr>
            <w:tcW w:type="dxa" w:w="415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Rear panel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08_SEALS</w:t>
            </w:r>
          </w:p>
        </w:tc>
        <w:tc>
          <w:tcPr>
            <w:tcW w:type="dxa" w:w="9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</w:t>
            </w:r>
          </w:p>
        </w:tc>
        <w:tc>
          <w:tcPr>
            <w:tcW w:type="dxa" w:w="17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530,948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EPDM gaskets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ABSORBER_FLUID_VOID_REF</w:t>
            </w:r>
          </w:p>
        </w:tc>
        <w:tc>
          <w:tcPr>
            <w:tcW w:type="dxa" w:w="9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</w:t>
            </w:r>
          </w:p>
        </w:tc>
        <w:tc>
          <w:tcPr>
            <w:tcW w:type="dxa" w:w="170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224,326</w:t>
            </w:r>
          </w:p>
        </w:tc>
        <w:tc>
          <w:tcPr>
            <w:tcW w:type="dxa" w:w="415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The twelve channel voids — the CFD fluid domain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09_SENSING</w:t>
            </w:r>
          </w:p>
        </w:tc>
        <w:tc>
          <w:tcPr>
            <w:tcW w:type="dxa" w:w="9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8</w:t>
            </w:r>
          </w:p>
        </w:tc>
        <w:tc>
          <w:tcPr>
            <w:tcW w:type="dxa" w:w="17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21,712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ESP32 board, pyranometer, five DS18B20 probes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Fasteners (M5 bezel)</w:t>
            </w:r>
          </w:p>
        </w:tc>
        <w:tc>
          <w:tcPr>
            <w:tcW w:type="dxa" w:w="9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28</w:t>
            </w:r>
          </w:p>
        </w:tc>
        <w:tc>
          <w:tcPr>
            <w:tcW w:type="dxa" w:w="170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4,651</w:t>
            </w:r>
          </w:p>
        </w:tc>
        <w:tc>
          <w:tcPr>
            <w:tcW w:type="dxa" w:w="415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Fourteen pairs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2.1 The optical stack</w:t>
      </w:r>
    </w:p>
    <w:p>
      <w:pPr>
        <w:spacing w:after="120" w:before="0" w:line="276" w:lineRule="auto"/>
      </w:pPr>
      <w:r>
        <w:t xml:space="preserve">Light reaches the absorber through four layers. Their thicknesses come straight from the bounding boxes of the CAD solids.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2 — The optical stack, outermost first.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2871"/>
        <w:gridCol w:w="2051"/>
        <w:gridCol w:w="2051"/>
        <w:gridCol w:w="2665"/>
      </w:tblGrid>
      <w:tr>
        <w:trPr>
          <w:cantSplit/>
          <w:tblHeader/>
        </w:trPr>
        <w:tc>
          <w:tcPr>
            <w:tcW w:type="dxa" w:w="287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Layer</w:t>
            </w:r>
          </w:p>
        </w:tc>
        <w:tc>
          <w:tcPr>
            <w:tcW w:type="dxa" w:w="205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Footprint (mm)</w:t>
            </w:r>
          </w:p>
        </w:tc>
        <w:tc>
          <w:tcPr>
            <w:tcW w:type="dxa" w:w="205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266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Transmittance</w:t>
            </w:r>
          </w:p>
        </w:tc>
      </w:tr>
      <w:tr>
        <w:trPr>
          <w:cantSplit/>
          <w:tblHeader w:val="false"/>
        </w:trPr>
        <w:tc>
          <w:tcPr>
            <w:tcW w:type="dxa" w:w="28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Thermotropic layer</w:t>
            </w:r>
          </w:p>
        </w:tc>
        <w:tc>
          <w:tcPr>
            <w:tcW w:type="dxa" w:w="2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1160 × 560</w:t>
            </w:r>
          </w:p>
        </w:tc>
        <w:tc>
          <w:tcPr>
            <w:tcW w:type="dxa" w:w="2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1.0</w:t>
            </w:r>
          </w:p>
        </w:tc>
        <w:tc>
          <w:tcPr>
            <w:tcW w:type="dxa" w:w="2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0.88 clear / 0.40 scattered</w:t>
            </w:r>
          </w:p>
        </w:tc>
      </w:tr>
      <w:tr>
        <w:trPr>
          <w:cantSplit/>
          <w:tblHeader w:val="false"/>
        </w:trPr>
        <w:tc>
          <w:tcPr>
            <w:tcW w:type="dxa" w:w="28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Outer glass pane</w:t>
            </w:r>
          </w:p>
        </w:tc>
        <w:tc>
          <w:tcPr>
            <w:tcW w:type="dxa" w:w="205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1160 × 560</w:t>
            </w:r>
          </w:p>
        </w:tc>
        <w:tc>
          <w:tcPr>
            <w:tcW w:type="dxa" w:w="205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3.2</w:t>
            </w:r>
          </w:p>
        </w:tc>
        <w:tc>
          <w:tcPr>
            <w:tcW w:type="dxa" w:w="266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part of τ_glz,sys = 0.833</w:t>
            </w:r>
          </w:p>
        </w:tc>
      </w:tr>
      <w:tr>
        <w:trPr>
          <w:cantSplit/>
          <w:tblHeader w:val="false"/>
        </w:trPr>
        <w:tc>
          <w:tcPr>
            <w:tcW w:type="dxa" w:w="28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Inner glass pane</w:t>
            </w:r>
          </w:p>
        </w:tc>
        <w:tc>
          <w:tcPr>
            <w:tcW w:type="dxa" w:w="2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 × 488</w:t>
            </w:r>
          </w:p>
        </w:tc>
        <w:tc>
          <w:tcPr>
            <w:tcW w:type="dxa" w:w="2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3.2</w:t>
            </w:r>
          </w:p>
        </w:tc>
        <w:tc>
          <w:tcPr>
            <w:tcW w:type="dxa" w:w="2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part of τ_glz,sys = 0.833</w:t>
            </w:r>
          </w:p>
        </w:tc>
      </w:tr>
      <w:tr>
        <w:trPr>
          <w:cantSplit/>
          <w:tblHeader w:val="false"/>
        </w:trPr>
        <w:tc>
          <w:tcPr>
            <w:tcW w:type="dxa" w:w="28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TIM honeycomb panel</w:t>
            </w:r>
          </w:p>
        </w:tc>
        <w:tc>
          <w:tcPr>
            <w:tcW w:type="dxa" w:w="205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 × 488</w:t>
            </w:r>
          </w:p>
        </w:tc>
        <w:tc>
          <w:tcPr>
            <w:tcW w:type="dxa" w:w="205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10.0</w:t>
            </w:r>
          </w:p>
        </w:tc>
        <w:tc>
          <w:tcPr>
            <w:tcW w:type="dxa" w:w="266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τ_TIM = 0.82</w:t>
            </w:r>
          </w:p>
        </w:tc>
      </w:tr>
      <w:tr>
        <w:trPr>
          <w:cantSplit/>
          <w:tblHeader w:val="false"/>
        </w:trPr>
        <w:tc>
          <w:tcPr>
            <w:tcW w:type="dxa" w:w="28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Selective coating (TiNOX)</w:t>
            </w:r>
          </w:p>
        </w:tc>
        <w:tc>
          <w:tcPr>
            <w:tcW w:type="dxa" w:w="2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 × 480</w:t>
            </w:r>
          </w:p>
        </w:tc>
        <w:tc>
          <w:tcPr>
            <w:tcW w:type="dxa" w:w="2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surface property</w:t>
            </w:r>
          </w:p>
        </w:tc>
        <w:tc>
          <w:tcPr>
            <w:tcW w:type="dxa" w:w="2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α = 0.95, ε = 0.04</w:t>
            </w:r>
          </w:p>
        </w:tc>
      </w:tr>
    </w:tbl>
    <w:p>
      <w:pPr>
        <w:spacing w:after="120" w:before="0" w:line="276" w:lineRule="auto"/>
      </w:pPr>
      <w:r>
        <w:t xml:space="preserve">The optical chain that drives every thermal result in the CFD study follows directly from this stack:</w:t>
      </w:r>
    </w:p>
    <w:p>
      <w:pPr>
        <w:spacing w:after="180" w:before="140"/>
        <w:jc w:val="center"/>
      </w:pPr>
      <w:r>
        <w:rPr>
          <w:b/>
          <w:bCs/>
          <w:sz w:val="22"/>
          <w:szCs w:val="22"/>
        </w:rPr>
        <w:t xml:space="preserve">q″ = G_T × τ_glz,sys × τ_TIM × α_abs = 800 × 0.833 × 0.82 × 0.95 = 519.13 W/m²</w:t>
      </w:r>
    </w:p>
    <w:p>
      <w:pPr>
        <w:spacing w:after="120" w:before="0" w:line="276" w:lineRule="auto"/>
      </w:pPr>
      <w:r>
        <w:t xml:space="preserve">The value 0.833 is the two-pane system transmittance. An earlier revision of the design documentation carried the single-pane value 0.91; using it would have put 567.1 W/m² into the absorber instead of 519.1, an 8.5 % error on every efficiency in the study. The correction is recorded as CR-02 in the project's correction register.</w:t>
      </w:r>
    </w:p>
    <w:p>
      <w:pPr>
        <w:pStyle w:val="Heading2"/>
        <w:keepNext/>
        <w:spacing w:after="120" w:before="280"/>
      </w:pPr>
      <w:r>
        <w:t xml:space="preserve">2.2 The graded PCM tray</w:t>
      </w:r>
    </w:p>
    <w:p>
      <w:pPr>
        <w:spacing w:after="120" w:before="0" w:line="276" w:lineRule="auto"/>
      </w:pPr>
      <w:r>
        <w:t xml:space="preserve">Seven PCM zones run across the plate, each 157.1 mm long and 480 mm wide, with the depth increasing monotonically from one end to the other. The grading is deliberate: the end of the plate that runs hottest gets the most storage.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3 — The seven graded PCM zones.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3614"/>
        <w:gridCol w:w="3012"/>
        <w:gridCol w:w="3012"/>
      </w:tblGrid>
      <w:tr>
        <w:trPr>
          <w:cantSplit/>
          <w:tblHeader/>
        </w:trPr>
        <w:tc>
          <w:tcPr>
            <w:tcW w:type="dxa" w:w="361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Zone</w:t>
            </w:r>
          </w:p>
        </w:tc>
        <w:tc>
          <w:tcPr>
            <w:tcW w:type="dxa" w:w="301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Depth (mm)</w:t>
            </w:r>
          </w:p>
        </w:tc>
        <w:tc>
          <w:tcPr>
            <w:tcW w:type="dxa" w:w="301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Volume (mm³)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PCM_ZONE_01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7.1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538,734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PCM_ZONE_02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8.1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610,305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PCM_ZONE_03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9.0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682,101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PCM_ZONE_04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10.0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753,979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PCM_ZONE_05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11.0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825,774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PCM_ZONE_06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11.9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897,652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PCM_ZONE_07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12.9</w:t>
            </w:r>
          </w:p>
        </w:tc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969,365</w:t>
            </w:r>
          </w:p>
        </w:tc>
      </w:tr>
      <w:tr>
        <w:trPr>
          <w:cantSplit/>
          <w:tblHeader w:val="false"/>
        </w:trPr>
        <w:tc>
          <w:tcPr>
            <w:tcW w:type="dxa" w:w="36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Total PCM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—</w:t>
            </w:r>
          </w:p>
        </w:tc>
        <w:tc>
          <w:tcPr>
            <w:tcW w:type="dxa" w:w="301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5,277,910</w:t>
            </w:r>
          </w:p>
        </w:tc>
      </w:tr>
    </w:tbl>
    <w:p>
      <w:pPr>
        <w:spacing w:after="120" w:before="0" w:line="276" w:lineRule="auto"/>
      </w:pPr>
      <w:r>
        <w:t xml:space="preserve">The PCM is RT55 with 10 % expanded graphite: latent heat 170 kJ/kg across a melting band of 51–57 °C, solid density 880 kg/m³ and conductivity 2.80 W/m·K. A 0.4 mm graphite interface layer (211,153 mm³) couples the tray to the absorber.</w:t>
      </w:r>
    </w:p>
    <w:p>
      <w:pPr>
        <w:pStyle w:val="Heading2"/>
        <w:keepNext/>
        <w:spacing w:after="120" w:before="280"/>
      </w:pPr>
      <w:r>
        <w:t xml:space="preserve">2.3 The manifolds and the flow circuit</w:t>
      </w:r>
    </w:p>
    <w:p>
      <w:pPr>
        <w:spacing w:after="120" w:before="0" w:line="276" w:lineRule="auto"/>
      </w:pPr>
      <w:r>
        <w:t xml:space="preserve">Two manifold blocks, each 45 × 480 × 39 mm, carry twelve ports of 15 mm bore. The port names encode the circuit directly: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t xml:space="preserve">Six ports on the </w:t>
      </w:r>
      <w:r>
        <w:rPr>
          <w:b/>
          <w:bCs/>
        </w:rPr>
        <w:t xml:space="preserve">left</w:t>
      </w:r>
      <w:r>
        <w:t xml:space="preserve"> manifold: three cold inlets (N200, N40, P120) and three hot outlets (N120, P40, P200).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t xml:space="preserve">Six ports on the </w:t>
      </w:r>
      <w:r>
        <w:rPr>
          <w:b/>
          <w:bCs/>
        </w:rPr>
        <w:t xml:space="preserve">right</w:t>
      </w:r>
      <w:r>
        <w:t xml:space="preserve"> manifold, mirrored: three cold inlets (N200, N40, P120) and three hot outlets (N120, P40, P200).</w:t>
      </w:r>
    </w:p>
    <w:p>
      <w:pPr>
        <w:spacing w:after="120" w:before="0" w:line="276" w:lineRule="auto"/>
      </w:pPr>
      <w:r>
        <w:t xml:space="preserve">Reading the suffixes as channel y-positions in millimetres shows the pattern plainly. A channel fed cold from the left is flanked by channels fed cold from the right. That is the alternating counter-current arrangement, built into the manifold geometry rather than into a flow-control scheme.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3. The absorber — the part that matters</w:t>
      </w:r>
    </w:p>
    <w:p>
      <w:pPr>
        <w:spacing w:after="120" w:before="0" w:line="276" w:lineRule="auto"/>
      </w:pPr>
      <w:r>
        <w:t xml:space="preserve">The absorber assembly is three solids and 1,126,470 mm³ of aluminium. It is also the entire subject of the CFD study, so it is worth setting out in detail.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4 — The absorber assembly.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2777"/>
        <w:gridCol w:w="1634"/>
        <w:gridCol w:w="1307"/>
        <w:gridCol w:w="1797"/>
        <w:gridCol w:w="2123"/>
      </w:tblGrid>
      <w:tr>
        <w:trPr>
          <w:cantSplit/>
          <w:tblHeader/>
        </w:trPr>
        <w:tc>
          <w:tcPr>
            <w:tcW w:type="dxa" w:w="277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Solid</w:t>
            </w:r>
          </w:p>
        </w:tc>
        <w:tc>
          <w:tcPr>
            <w:tcW w:type="dxa" w:w="163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Footprint (mm)</w:t>
            </w:r>
          </w:p>
        </w:tc>
        <w:tc>
          <w:tcPr>
            <w:tcW w:type="dxa" w:w="130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Height (mm)</w:t>
            </w:r>
          </w:p>
        </w:tc>
        <w:tc>
          <w:tcPr>
            <w:tcW w:type="dxa" w:w="179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Volume (mm³)</w:t>
            </w:r>
          </w:p>
        </w:tc>
        <w:tc>
          <w:tcPr>
            <w:tcW w:type="dxa" w:w="212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27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ABSORBER_LOWER_SHEET</w:t>
            </w:r>
          </w:p>
        </w:tc>
        <w:tc>
          <w:tcPr>
            <w:tcW w:type="dxa" w:w="1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 × 480</w:t>
            </w:r>
          </w:p>
        </w:tc>
        <w:tc>
          <w:tcPr>
            <w:tcW w:type="dxa" w:w="13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1.0</w:t>
            </w:r>
          </w:p>
        </w:tc>
        <w:tc>
          <w:tcPr>
            <w:tcW w:type="dxa" w:w="1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528,000</w:t>
            </w:r>
          </w:p>
        </w:tc>
        <w:tc>
          <w:tcPr>
            <w:tcW w:type="dxa" w:w="2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Flat backing sheet</w:t>
            </w:r>
          </w:p>
        </w:tc>
      </w:tr>
      <w:tr>
        <w:trPr>
          <w:cantSplit/>
          <w:tblHeader w:val="false"/>
        </w:trPr>
        <w:tc>
          <w:tcPr>
            <w:tcW w:type="dxa" w:w="277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ABSORBER_UPPER_SHEET</w:t>
            </w:r>
          </w:p>
        </w:tc>
        <w:tc>
          <w:tcPr>
            <w:tcW w:type="dxa" w:w="163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 × 480</w:t>
            </w:r>
          </w:p>
        </w:tc>
        <w:tc>
          <w:tcPr>
            <w:tcW w:type="dxa" w:w="130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5.2</w:t>
            </w:r>
          </w:p>
        </w:tc>
        <w:tc>
          <w:tcPr>
            <w:tcW w:type="dxa" w:w="17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598,582</w:t>
            </w:r>
          </w:p>
        </w:tc>
        <w:tc>
          <w:tcPr>
            <w:tcW w:type="dxa" w:w="212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Domed sheet forming the channels</w:t>
            </w:r>
          </w:p>
        </w:tc>
      </w:tr>
      <w:tr>
        <w:trPr>
          <w:cantSplit/>
          <w:tblHeader w:val="false"/>
        </w:trPr>
        <w:tc>
          <w:tcPr>
            <w:tcW w:type="dxa" w:w="27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SELECTIVE_COATING</w:t>
            </w:r>
          </w:p>
        </w:tc>
        <w:tc>
          <w:tcPr>
            <w:tcW w:type="dxa" w:w="1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 × 480</w:t>
            </w:r>
          </w:p>
        </w:tc>
        <w:tc>
          <w:tcPr>
            <w:tcW w:type="dxa" w:w="13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4.6</w:t>
            </w:r>
          </w:p>
        </w:tc>
        <w:tc>
          <w:tcPr>
            <w:tcW w:type="dxa" w:w="1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−112</w:t>
            </w:r>
          </w:p>
        </w:tc>
        <w:tc>
          <w:tcPr>
            <w:tcW w:type="dxa" w:w="2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Excluded — see below</w:t>
            </w:r>
          </w:p>
        </w:tc>
      </w:tr>
    </w:tbl>
    <w:tbl>
      <w:tblPr>
        <w:tblW w:type="dxa" w:w="9638"/>
        <w:tblBorders>
          <w:top w:val="single" w:color="C0522D" w:sz="6"/>
          <w:left w:val="single" w:color="C0522D" w:sz="6"/>
          <w:bottom w:val="single" w:color="C0522D" w:sz="6"/>
          <w:right w:val="single" w:color="C0522D" w:sz="6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DF2E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A solid that had to be excluded, and why that is defensible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SELECTIVE_COATING translates out of the STEP file with a NEGATIVE volume of −111.8 mm³. A 0.3 µm coating on a 1.1 m panel is beyond what the translator can represent as a solid.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It is excluded from the meshed model and carried instead as a surface radiative property, α = 0.95 and ε = 0.04.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This is not a workaround. The project's own material database specifies TiNOX as a boundary condition and gives it no bulk properties at all, so the CAD and the physics agree that it is a surface, not a body. 128 of 129 solids are carried; this is the one that is not.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3.1 The converging channel</w:t>
      </w:r>
    </w:p>
    <w:p>
      <w:pPr>
        <w:spacing w:after="120" w:before="0" w:line="276" w:lineRule="auto"/>
      </w:pPr>
      <w:r>
        <w:t xml:space="preserve">Each of the twelve channels narrows continuously from inlet to outlet. This is the design feature the whole study exists to evaluate, so its geometry was measured rather than assumed.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5 — Channel section along the flow, measured on the CAD surface (channel CH05).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1349"/>
        <w:gridCol w:w="1735"/>
        <w:gridCol w:w="2120"/>
        <w:gridCol w:w="2699"/>
        <w:gridCol w:w="1735"/>
      </w:tblGrid>
      <w:tr>
        <w:trPr>
          <w:cantSplit/>
          <w:tblHeader/>
        </w:trPr>
        <w:tc>
          <w:tcPr>
            <w:tcW w:type="dxa" w:w="1349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ξ</w:t>
            </w:r>
          </w:p>
        </w:tc>
        <w:tc>
          <w:tcPr>
            <w:tcW w:type="dxa" w:w="173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x (mm)</w:t>
            </w:r>
          </w:p>
        </w:tc>
        <w:tc>
          <w:tcPr>
            <w:tcW w:type="dxa" w:w="212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Area (mm²)</w:t>
            </w:r>
          </w:p>
        </w:tc>
        <w:tc>
          <w:tcPr>
            <w:tcW w:type="dxa" w:w="2699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Wetted perimeter (mm)</w:t>
            </w:r>
          </w:p>
        </w:tc>
        <w:tc>
          <w:tcPr>
            <w:tcW w:type="dxa" w:w="173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D_h (mm)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0.00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−550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29.988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21.587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5.557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0.10</w:t>
            </w:r>
          </w:p>
        </w:tc>
        <w:tc>
          <w:tcPr>
            <w:tcW w:type="dxa" w:w="17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−440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25.517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20.554</w:t>
            </w:r>
          </w:p>
        </w:tc>
        <w:tc>
          <w:tcPr>
            <w:tcW w:type="dxa" w:w="17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4.966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0.25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−275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22.083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19.005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4.648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0.50</w:t>
            </w:r>
          </w:p>
        </w:tc>
        <w:tc>
          <w:tcPr>
            <w:tcW w:type="dxa" w:w="17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16.465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16.425</w:t>
            </w:r>
          </w:p>
        </w:tc>
        <w:tc>
          <w:tcPr>
            <w:tcW w:type="dxa" w:w="17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4.010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0.75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+275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11.823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13.852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3.414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0.90</w:t>
            </w:r>
          </w:p>
        </w:tc>
        <w:tc>
          <w:tcPr>
            <w:tcW w:type="dxa" w:w="17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+440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6.356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12.312</w:t>
            </w:r>
          </w:p>
        </w:tc>
        <w:tc>
          <w:tcPr>
            <w:tcW w:type="dxa" w:w="17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 w:line="276" w:lineRule="auto"/>
      </w:pPr>
      <w:r>
        <w:t xml:space="preserve">The end values, taken at the trimmed end faces themselves rather than at a sampled station, are the governing numbers: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6 — Governing as-built channel geometry.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3486"/>
        <w:gridCol w:w="2256"/>
        <w:gridCol w:w="2256"/>
        <w:gridCol w:w="1640"/>
      </w:tblGrid>
      <w:tr>
        <w:trPr>
          <w:cantSplit/>
          <w:tblHeader/>
        </w:trPr>
        <w:tc>
          <w:tcPr>
            <w:tcW w:type="dxa" w:w="348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Quantity</w:t>
            </w:r>
          </w:p>
        </w:tc>
        <w:tc>
          <w:tcPr>
            <w:tcW w:type="dxa" w:w="225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Inlet</w:t>
            </w:r>
          </w:p>
        </w:tc>
        <w:tc>
          <w:tcPr>
            <w:tcW w:type="dxa" w:w="225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Outlet</w:t>
            </w:r>
          </w:p>
        </w:tc>
        <w:tc>
          <w:tcPr>
            <w:tcW w:type="dxa" w:w="164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Ratio</w:t>
            </w:r>
          </w:p>
        </w:tc>
      </w:tr>
      <w:tr>
        <w:trPr>
          <w:cantSplit/>
          <w:tblHeader w:val="false"/>
        </w:trPr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Flow area (mm²)</w:t>
            </w:r>
          </w:p>
        </w:tc>
        <w:tc>
          <w:tcPr>
            <w:tcW w:type="dxa" w:w="22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28.056939</w:t>
            </w:r>
          </w:p>
        </w:tc>
        <w:tc>
          <w:tcPr>
            <w:tcW w:type="dxa" w:w="22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7.921436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0.2823</w:t>
            </w:r>
          </w:p>
        </w:tc>
      </w:tr>
      <w:tr>
        <w:trPr>
          <w:cantSplit/>
          <w:tblHeader w:val="false"/>
        </w:trPr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Wetted perimeter (mm)</w:t>
            </w:r>
          </w:p>
        </w:tc>
        <w:tc>
          <w:tcPr>
            <w:tcW w:type="dxa" w:w="225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21.5865</w:t>
            </w:r>
          </w:p>
        </w:tc>
        <w:tc>
          <w:tcPr>
            <w:tcW w:type="dxa" w:w="225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11.2884</w:t>
            </w:r>
          </w:p>
        </w:tc>
        <w:tc>
          <w:tcPr>
            <w:tcW w:type="dxa" w:w="164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0.5229</w:t>
            </w:r>
          </w:p>
        </w:tc>
      </w:tr>
      <w:tr>
        <w:trPr>
          <w:cantSplit/>
          <w:tblHeader w:val="false"/>
        </w:trPr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Hydraulic diameter D_h (mm)</w:t>
            </w:r>
          </w:p>
        </w:tc>
        <w:tc>
          <w:tcPr>
            <w:tcW w:type="dxa" w:w="22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5.198875</w:t>
            </w:r>
          </w:p>
        </w:tc>
        <w:tc>
          <w:tcPr>
            <w:tcW w:type="dxa" w:w="22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2.807053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0.539935</w:t>
            </w:r>
          </w:p>
        </w:tc>
      </w:tr>
      <w:tr>
        <w:trPr>
          <w:cantSplit/>
          <w:tblHeader w:val="false"/>
        </w:trPr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Channel footprint width (mm)</w:t>
            </w:r>
          </w:p>
        </w:tc>
        <w:tc>
          <w:tcPr>
            <w:tcW w:type="dxa" w:w="225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8.714056</w:t>
            </w:r>
          </w:p>
        </w:tc>
        <w:tc>
          <w:tcPr>
            <w:tcW w:type="dxa" w:w="225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 w:line="276" w:lineRule="auto"/>
      </w:pPr>
      <w:r>
        <w:t xml:space="preserve">The hydraulic grading ratio is therefore</w:t>
      </w:r>
    </w:p>
    <w:p>
      <w:pPr>
        <w:spacing w:after="180" w:before="140"/>
        <w:jc w:val="center"/>
      </w:pPr>
      <w:r>
        <w:rPr>
          <w:b/>
          <w:bCs/>
          <w:sz w:val="22"/>
          <w:szCs w:val="22"/>
        </w:rPr>
        <w:t xml:space="preserve">G = D_h,outlet / D_h,inlet = 2.807053 / 5.198875 = 0.539935</w:t>
      </w:r>
    </w:p>
    <w:p>
      <w:pPr>
        <w:spacing w:after="120" w:before="0" w:line="276" w:lineRule="auto"/>
      </w:pPr>
      <w:r>
        <w:t xml:space="preserve">and the grading follows a linear-in-D_h law. Fitting D_h(ξ) = D_h,in [1 − (1 − G) ξ^λ] to the measured profile gives λ = 1.0, with the measured sections matching the linear law to between +0.19 % and +0.49 % over ξ = 0.10 to 0.90. The exponent is confirmed, not assumed.</w:t>
      </w:r>
    </w:p>
    <w:p>
      <w:pPr>
        <w:spacing w:after="40" w:before="160"/>
        <w:jc w:val="center"/>
      </w:pPr>
      <w:r>
        <w:drawing>
          <wp:inline distT="0" distB="0" distL="0" distR="0">
            <wp:extent cx="6124575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2 — Flow area, wetted perimeter and hydraulic diameter along the channel axis. All three fall monotonically: the section CONVERGES.</w:t>
      </w:r>
    </w:p>
    <w:p>
      <w:pPr>
        <w:spacing w:after="40" w:before="160"/>
        <w:jc w:val="center"/>
      </w:pPr>
      <w:r>
        <w:drawing>
          <wp:inline distT="0" distB="0" distL="0" distR="0">
            <wp:extent cx="47815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3 — The channel cross-section at inlet, mid-span and outlet, drawn on the CAD surface. The section shrinks; it does not merely change shape.</w:t>
      </w:r>
    </w:p>
    <w:p>
      <w:pPr>
        <w:pStyle w:val="Heading2"/>
        <w:keepNext/>
        <w:spacing w:after="120" w:before="280"/>
      </w:pPr>
      <w:r>
        <w:t xml:space="preserve">3.2 The root fillet</w:t>
      </w:r>
    </w:p>
    <w:p>
      <w:pPr>
        <w:spacing w:after="120" w:before="0" w:line="276" w:lineRule="auto"/>
      </w:pPr>
      <w:r>
        <w:t xml:space="preserve">Where the domed upper sheet meets the flat lower sheet there is a tangent blend of radius r = 0.5 mm. This small number had a disproportionate effect on the model and is worth recording.</w:t>
      </w:r>
    </w:p>
    <w:p>
      <w:pPr>
        <w:spacing w:after="120" w:before="0" w:line="276" w:lineRule="auto"/>
      </w:pPr>
      <w:r>
        <w:t xml:space="preserve">At the originally specified radius of 1.0 mm the tangent-blend section degenerates once the dome height falls to 3.0 mm: the blend consumes the whole flank, the section scale floors at 0.745525, and a grading ratio of G = 0.54 becomes geometrically unreachable. At r = 0.5 mm the blend stays well-posed the whole way along and G = 0.539935 is achieved. The change is recorded as CR-05.</w:t>
      </w:r>
    </w:p>
    <w:p>
      <w:pPr>
        <w:spacing w:after="120" w:before="0" w:line="276" w:lineRule="auto"/>
      </w:pPr>
      <w:r>
        <w:t xml:space="preserve">The fillet also shapes the section in a way that mattered later. Because the fillet is concave, the widest point of the channel is not at the sheet interface: measured at the inlet station, the widest point sits at z = 0.447 mm and the wall reaches z = 0 only 0.54 mm further in. Section 6 of the CFD report explains why this small fact defeated one meshing approach entirely.</w:t>
      </w:r>
    </w:p>
    <w:p>
      <w:pPr>
        <w:spacing w:after="40" w:before="160"/>
        <w:jc w:val="center"/>
      </w:pPr>
      <w:r>
        <w:drawing>
          <wp:inline distT="0" distB="0" distL="0" distR="0">
            <wp:extent cx="4410075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4 — The root fillet at r = 0.5 mm, with the tangent-blend construction. The superseded model used 1.0 mm.</w:t>
      </w:r>
    </w:p>
    <w:p>
      <w:pPr>
        <w:pStyle w:val="Heading2"/>
        <w:keepNext/>
        <w:spacing w:after="120" w:before="280"/>
      </w:pPr>
      <w:r>
        <w:t xml:space="preserve">3.3 The conductive bridge</w:t>
      </w:r>
    </w:p>
    <w:p>
      <w:pPr>
        <w:spacing w:after="120" w:before="0" w:line="276" w:lineRule="auto"/>
      </w:pPr>
      <w:r>
        <w:t xml:space="preserve">Between one channel and the next lies a strip of bonded aluminium. Its width follows from the pitch and the channel footprint:</w:t>
      </w:r>
    </w:p>
    <w:p>
      <w:pPr>
        <w:spacing w:after="180" w:before="140"/>
        <w:jc w:val="center"/>
      </w:pPr>
      <w:r>
        <w:rPr>
          <w:b/>
          <w:bCs/>
          <w:sz w:val="22"/>
          <w:szCs w:val="22"/>
        </w:rPr>
        <w:t xml:space="preserve">bridge = pitch − w_channel = 40.000000 − 8.714056 = 31.285944 mm</w:t>
      </w:r>
    </w:p>
    <w:p>
      <w:pPr>
        <w:spacing w:after="120" w:before="0" w:line="276" w:lineRule="auto"/>
      </w:pPr>
      <w:r>
        <w:t xml:space="preserve">This bridge is the lateral conduction path. Under alternating flow it carries heat sideways from a hot channel to its cold neighbour, and that transfer is the mechanism the entire CFD study sets out to measure. Its width is therefore a geometric parameter of first importance, and the CFD campaign sweeps it from 20 to 37 mm.</w:t>
      </w:r>
    </w:p>
    <w:p>
      <w:pPr>
        <w:spacing w:after="40" w:before="160"/>
        <w:jc w:val="center"/>
      </w:pPr>
      <w:r>
        <w:drawing>
          <wp:inline distT="0" distB="0" distL="0" distR="0">
            <wp:extent cx="551497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5 — Four adjacent channels at the inlet, on a 40 mm pitch, with the 31.286 mm conductive bridge between them.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4. Geometry acceptance — and a measurement error that had to be caught</w:t>
      </w:r>
    </w:p>
    <w:p>
      <w:pPr>
        <w:spacing w:after="120" w:before="0" w:line="276" w:lineRule="auto"/>
      </w:pPr>
      <w:r>
        <w:t xml:space="preserve">No CFD was run until the geometry passed a gate of twelve invariants. This section reports that gate, and the reason it had to be run twice.</w:t>
      </w:r>
    </w:p>
    <w:p>
      <w:pPr>
        <w:pStyle w:val="Heading2"/>
        <w:keepNext/>
        <w:spacing w:after="120" w:before="280"/>
      </w:pPr>
      <w:r>
        <w:t xml:space="preserve">4.1 What went wrong the first time</w:t>
      </w:r>
    </w:p>
    <w:p>
      <w:pPr>
        <w:spacing w:after="120" w:before="0" w:line="276" w:lineRule="auto"/>
      </w:pPr>
      <w:r>
        <w:t xml:space="preserve">The first pass through the gate recorded four failing invariants and attributed them to translation error in the STEP file at the channel's small end. A correction was written (CR-08) stating that the grading ratio should be restated as 0.535763.</w:t>
      </w:r>
    </w:p>
    <w:p>
      <w:pPr>
        <w:spacing w:after="120" w:before="0" w:line="276" w:lineRule="auto"/>
      </w:pPr>
      <w:r>
        <w:t xml:space="preserve">That conclusion was wrong, and it was wrong for a specific and instructive reason: the measuring instrument was trusted without being tested.</w:t>
      </w:r>
    </w:p>
    <w:p>
      <w:pPr>
        <w:spacing w:after="120" w:before="0" w:line="276" w:lineRule="auto"/>
      </w:pPr>
      <w:r>
        <w:t xml:space="preserve">All four apparent failures came from one function, gmsh.model.occ.getMass. The outlet face of the channel is a small trimmed planar face, which is the hardest case for that integrator. Measuring the same geometry a different way — by evaluating the true NURBS surface directly and refining the sampling until the answer stopped moving — gave a different result.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7 — Convergence of the directly evaluated end-cap areas. NU is the number of sample points around the section.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876"/>
        <w:gridCol w:w="1752"/>
        <w:gridCol w:w="1314"/>
        <w:gridCol w:w="1752"/>
        <w:gridCol w:w="1314"/>
        <w:gridCol w:w="1314"/>
        <w:gridCol w:w="1316"/>
      </w:tblGrid>
      <w:tr>
        <w:trPr>
          <w:cantSplit/>
          <w:tblHeader/>
        </w:trPr>
        <w:tc>
          <w:tcPr>
            <w:tcW w:type="dxa" w:w="87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NU</w:t>
            </w:r>
          </w:p>
        </w:tc>
        <w:tc>
          <w:tcPr>
            <w:tcW w:type="dxa" w:w="175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Inlet area (mm²)</w:t>
            </w:r>
          </w:p>
        </w:tc>
        <w:tc>
          <w:tcPr>
            <w:tcW w:type="dxa" w:w="131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dev vs CAD</w:t>
            </w:r>
          </w:p>
        </w:tc>
        <w:tc>
          <w:tcPr>
            <w:tcW w:type="dxa" w:w="175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Outlet area (mm²)</w:t>
            </w:r>
          </w:p>
        </w:tc>
        <w:tc>
          <w:tcPr>
            <w:tcW w:type="dxa" w:w="131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dev vs CAD</w:t>
            </w:r>
          </w:p>
        </w:tc>
        <w:tc>
          <w:tcPr>
            <w:tcW w:type="dxa" w:w="131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dev vs OCC</w:t>
            </w:r>
          </w:p>
        </w:tc>
        <w:tc>
          <w:tcPr>
            <w:tcW w:type="dxa" w:w="131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G</w:t>
            </w:r>
          </w:p>
        </w:tc>
      </w:tr>
      <w:tr>
        <w:trPr>
          <w:cantSplit/>
          <w:tblHeader w:val="false"/>
        </w:trPr>
        <w:tc>
          <w:tcPr>
            <w:tcW w:type="dxa" w:w="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96</w:t>
            </w:r>
          </w:p>
        </w:tc>
        <w:tc>
          <w:tcPr>
            <w:tcW w:type="dxa" w:w="1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28.036605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−0.0663 %</w:t>
            </w:r>
          </w:p>
        </w:tc>
        <w:tc>
          <w:tcPr>
            <w:tcW w:type="dxa" w:w="1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7.908667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−0.1431 %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+0.5803 %</w:t>
            </w:r>
          </w:p>
        </w:tc>
        <w:tc>
          <w:tcPr>
            <w:tcW w:type="dxa" w:w="1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0.539764</w:t>
            </w:r>
          </w:p>
        </w:tc>
      </w:tr>
      <w:tr>
        <w:trPr>
          <w:cantSplit/>
          <w:tblHeader w:val="false"/>
        </w:trPr>
        <w:tc>
          <w:tcPr>
            <w:tcW w:type="dxa" w:w="87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192</w:t>
            </w:r>
          </w:p>
        </w:tc>
        <w:tc>
          <w:tcPr>
            <w:tcW w:type="dxa" w:w="175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28.051893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−0.0118 %</w:t>
            </w:r>
          </w:p>
        </w:tc>
        <w:tc>
          <w:tcPr>
            <w:tcW w:type="dxa" w:w="175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7.918230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−0.0223 %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+0.7019 %</w:t>
            </w:r>
          </w:p>
        </w:tc>
        <w:tc>
          <w:tcPr>
            <w:tcW w:type="dxa" w:w="13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0.539892</w:t>
            </w:r>
          </w:p>
        </w:tc>
      </w:tr>
      <w:tr>
        <w:trPr>
          <w:cantSplit/>
          <w:tblHeader w:val="false"/>
        </w:trPr>
        <w:tc>
          <w:tcPr>
            <w:tcW w:type="dxa" w:w="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288</w:t>
            </w:r>
          </w:p>
        </w:tc>
        <w:tc>
          <w:tcPr>
            <w:tcW w:type="dxa" w:w="1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28.054711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−0.0017 %</w:t>
            </w:r>
          </w:p>
        </w:tc>
        <w:tc>
          <w:tcPr>
            <w:tcW w:type="dxa" w:w="1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7.920019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+0.0002 %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+0.7247 %</w:t>
            </w:r>
          </w:p>
        </w:tc>
        <w:tc>
          <w:tcPr>
            <w:tcW w:type="dxa" w:w="1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0.539916</w:t>
            </w:r>
          </w:p>
        </w:tc>
      </w:tr>
      <w:tr>
        <w:trPr>
          <w:cantSplit/>
          <w:tblHeader w:val="false"/>
        </w:trPr>
        <w:tc>
          <w:tcPr>
            <w:tcW w:type="dxa" w:w="87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576</w:t>
            </w:r>
          </w:p>
        </w:tc>
        <w:tc>
          <w:tcPr>
            <w:tcW w:type="dxa" w:w="175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28.056409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+0.0043 %</w:t>
            </w:r>
          </w:p>
        </w:tc>
        <w:tc>
          <w:tcPr>
            <w:tcW w:type="dxa" w:w="175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7.921098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+0.0139 %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+0.7384 %</w:t>
            </w:r>
          </w:p>
        </w:tc>
        <w:tc>
          <w:tcPr>
            <w:tcW w:type="dxa" w:w="13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0.539930</w:t>
            </w:r>
          </w:p>
        </w:tc>
      </w:tr>
      <w:tr>
        <w:trPr>
          <w:cantSplit/>
          <w:tblHeader w:val="false"/>
        </w:trPr>
        <w:tc>
          <w:tcPr>
            <w:tcW w:type="dxa" w:w="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1152</w:t>
            </w:r>
          </w:p>
        </w:tc>
        <w:tc>
          <w:tcPr>
            <w:tcW w:type="dxa" w:w="1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28.056833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+0.0058 %</w:t>
            </w:r>
          </w:p>
        </w:tc>
        <w:tc>
          <w:tcPr>
            <w:tcW w:type="dxa" w:w="1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7.921368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+0.0173 %</w:t>
            </w:r>
          </w:p>
        </w:tc>
        <w:tc>
          <w:tcPr>
            <w:tcW w:type="dxa" w:w="13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+0.7418 %</w:t>
            </w:r>
          </w:p>
        </w:tc>
        <w:tc>
          <w:tcPr>
            <w:tcW w:type="dxa" w:w="1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0.539934</w:t>
            </w:r>
          </w:p>
        </w:tc>
      </w:tr>
      <w:tr>
        <w:trPr>
          <w:cantSplit/>
          <w:tblHeader w:val="false"/>
        </w:trPr>
        <w:tc>
          <w:tcPr>
            <w:tcW w:type="dxa" w:w="87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2304</w:t>
            </w:r>
          </w:p>
        </w:tc>
        <w:tc>
          <w:tcPr>
            <w:tcW w:type="dxa" w:w="175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28.056939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+0.0062 %</w:t>
            </w:r>
          </w:p>
        </w:tc>
        <w:tc>
          <w:tcPr>
            <w:tcW w:type="dxa" w:w="175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7.921436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+0.0181 %</w:t>
            </w:r>
          </w:p>
        </w:tc>
        <w:tc>
          <w:tcPr>
            <w:tcW w:type="dxa" w:w="13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+0.7427 %</w:t>
            </w:r>
          </w:p>
        </w:tc>
        <w:tc>
          <w:tcPr>
            <w:tcW w:type="dxa" w:w="13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0.539935</w:t>
            </w:r>
          </w:p>
        </w:tc>
      </w:tr>
    </w:tbl>
    <w:tbl>
      <w:tblPr>
        <w:tblW w:type="dxa" w:w="9638"/>
        <w:tblBorders>
          <w:top w:val="single" w:color="C0522D" w:sz="6"/>
          <w:left w:val="single" w:color="C0522D" w:sz="6"/>
          <w:bottom w:val="single" w:color="C0522D" w:sz="6"/>
          <w:right w:val="single" w:color="C0522D" w:sz="6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DF2E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The decisive evidence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The refinement sequence converges monotonically ONTO the CAD values and AWAY from the OCC values. The outlet face is off by +0.74 % in OCC; the channel volume is off by +0.27 %.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The same refinement applied to the WALL area — a large, untrimmed, easy face — agrees with OCC to +0.007 %. Only the small trimmed faces and the enclosed volume are affected, which is exactly the signature of a trimmed-face integration weakness.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CR-08 was therefore WITHDRAWN and CR-09 recorded in its place: the geometry is faithful, and the error was in the measurement, not in the model. No CFD had been run, so nothing downstream had to be discarded.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4.2 The twelve invariants</w:t>
      </w:r>
    </w:p>
    <w:p>
      <w:pPr>
        <w:spacing w:after="120" w:before="0" w:line="276" w:lineRule="auto"/>
      </w:pPr>
      <w:r>
        <w:t xml:space="preserve">Re-measured by direct NURBS evaluation, the gate passes in full.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8 — Geometry acceptance gate. 12 PASS, 0 FAIL.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567"/>
        <w:gridCol w:w="2916"/>
        <w:gridCol w:w="1944"/>
        <w:gridCol w:w="1944"/>
        <w:gridCol w:w="1296"/>
        <w:gridCol w:w="971"/>
      </w:tblGrid>
      <w:tr>
        <w:trPr>
          <w:cantSplit/>
          <w:tblHeader/>
        </w:trPr>
        <w:tc>
          <w:tcPr>
            <w:tcW w:type="dxa" w:w="56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#</w:t>
            </w:r>
          </w:p>
        </w:tc>
        <w:tc>
          <w:tcPr>
            <w:tcW w:type="dxa" w:w="291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Invariant</w:t>
            </w:r>
          </w:p>
        </w:tc>
        <w:tc>
          <w:tcPr>
            <w:tcW w:type="dxa" w:w="194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CAD reference</w:t>
            </w:r>
          </w:p>
        </w:tc>
        <w:tc>
          <w:tcPr>
            <w:tcW w:type="dxa" w:w="194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Measured</w:t>
            </w:r>
          </w:p>
        </w:tc>
        <w:tc>
          <w:tcPr>
            <w:tcW w:type="dxa" w:w="129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Deviation</w:t>
            </w:r>
          </w:p>
        </w:tc>
        <w:tc>
          <w:tcPr>
            <w:tcW w:type="dxa" w:w="97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1</w:t>
            </w:r>
          </w:p>
        </w:tc>
        <w:tc>
          <w:tcPr>
            <w:tcW w:type="dxa" w:w="2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Fluid volume per channel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18,643.963 mm³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18,643.7 mm³</w:t>
            </w:r>
          </w:p>
        </w:tc>
        <w:tc>
          <w:tcPr>
            <w:tcW w:type="dxa" w:w="12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−0.0015 %</w:t>
            </w:r>
          </w:p>
        </w:tc>
        <w:tc>
          <w:tcPr>
            <w:tcW w:type="dxa" w:w="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2</w:t>
            </w:r>
          </w:p>
        </w:tc>
        <w:tc>
          <w:tcPr>
            <w:tcW w:type="dxa" w:w="29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Strip solid volume, 3CH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281,693.638 mm³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281,600.554 mm³</w:t>
            </w:r>
          </w:p>
        </w:tc>
        <w:tc>
          <w:tcPr>
            <w:tcW w:type="dxa" w:w="129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−0.033 %</w:t>
            </w:r>
          </w:p>
        </w:tc>
        <w:tc>
          <w:tcPr>
            <w:tcW w:type="dxa" w:w="9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3</w:t>
            </w:r>
          </w:p>
        </w:tc>
        <w:tc>
          <w:tcPr>
            <w:tcW w:type="dxa" w:w="2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Strip solid volume, 2CH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187,817.190 mm³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187,736.130 mm³</w:t>
            </w:r>
          </w:p>
        </w:tc>
        <w:tc>
          <w:tcPr>
            <w:tcW w:type="dxa" w:w="12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−0.043 %</w:t>
            </w:r>
          </w:p>
        </w:tc>
        <w:tc>
          <w:tcPr>
            <w:tcW w:type="dxa" w:w="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4</w:t>
            </w:r>
          </w:p>
        </w:tc>
        <w:tc>
          <w:tcPr>
            <w:tcW w:type="dxa" w:w="29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Channel inlet face area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28.0552 mm²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28.056939 mm²</w:t>
            </w:r>
          </w:p>
        </w:tc>
        <w:tc>
          <w:tcPr>
            <w:tcW w:type="dxa" w:w="129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+0.0062 %</w:t>
            </w:r>
          </w:p>
        </w:tc>
        <w:tc>
          <w:tcPr>
            <w:tcW w:type="dxa" w:w="9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5</w:t>
            </w:r>
          </w:p>
        </w:tc>
        <w:tc>
          <w:tcPr>
            <w:tcW w:type="dxa" w:w="2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Channel outlet face area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7.9200 mm²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7.921436 mm²</w:t>
            </w:r>
          </w:p>
        </w:tc>
        <w:tc>
          <w:tcPr>
            <w:tcW w:type="dxa" w:w="12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+0.0181 %</w:t>
            </w:r>
          </w:p>
        </w:tc>
        <w:tc>
          <w:tcPr>
            <w:tcW w:type="dxa" w:w="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6</w:t>
            </w:r>
          </w:p>
        </w:tc>
        <w:tc>
          <w:tcPr>
            <w:tcW w:type="dxa" w:w="29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Inlet hydraulic diameter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5.199685 mm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5.198875 mm</w:t>
            </w:r>
          </w:p>
        </w:tc>
        <w:tc>
          <w:tcPr>
            <w:tcW w:type="dxa" w:w="129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−0.0156 %</w:t>
            </w:r>
          </w:p>
        </w:tc>
        <w:tc>
          <w:tcPr>
            <w:tcW w:type="dxa" w:w="9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7</w:t>
            </w:r>
          </w:p>
        </w:tc>
        <w:tc>
          <w:tcPr>
            <w:tcW w:type="dxa" w:w="2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Outlet hydraulic diameter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2.809592 mm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2.807053 mm</w:t>
            </w:r>
          </w:p>
        </w:tc>
        <w:tc>
          <w:tcPr>
            <w:tcW w:type="dxa" w:w="12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−0.0904 %</w:t>
            </w:r>
          </w:p>
        </w:tc>
        <w:tc>
          <w:tcPr>
            <w:tcW w:type="dxa" w:w="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8</w:t>
            </w:r>
          </w:p>
        </w:tc>
        <w:tc>
          <w:tcPr>
            <w:tcW w:type="dxa" w:w="29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Hydraulic grading ratio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0.540339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0.539935</w:t>
            </w:r>
          </w:p>
        </w:tc>
        <w:tc>
          <w:tcPr>
            <w:tcW w:type="dxa" w:w="129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−0.0748 %</w:t>
            </w:r>
          </w:p>
        </w:tc>
        <w:tc>
          <w:tcPr>
            <w:tcW w:type="dxa" w:w="9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9</w:t>
            </w:r>
          </w:p>
        </w:tc>
        <w:tc>
          <w:tcPr>
            <w:tcW w:type="dxa" w:w="2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Channel pitch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40.000 mm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40.000000 mm</w:t>
            </w:r>
          </w:p>
        </w:tc>
        <w:tc>
          <w:tcPr>
            <w:tcW w:type="dxa" w:w="12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</w:t>
            </w:r>
          </w:p>
        </w:tc>
        <w:tc>
          <w:tcPr>
            <w:tcW w:type="dxa" w:w="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10</w:t>
            </w:r>
          </w:p>
        </w:tc>
        <w:tc>
          <w:tcPr>
            <w:tcW w:type="dxa" w:w="29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Periodic face area, 2CH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2200.000000 mm²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2200.000000 mm²</w:t>
            </w:r>
          </w:p>
        </w:tc>
        <w:tc>
          <w:tcPr>
            <w:tcW w:type="dxa" w:w="129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</w:t>
            </w:r>
          </w:p>
        </w:tc>
        <w:tc>
          <w:tcPr>
            <w:tcW w:type="dxa" w:w="9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11</w:t>
            </w:r>
          </w:p>
        </w:tc>
        <w:tc>
          <w:tcPr>
            <w:tcW w:type="dxa" w:w="2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Bridge width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31.299046 mm</w:t>
            </w:r>
          </w:p>
        </w:tc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31.285944 mm</w:t>
            </w:r>
          </w:p>
        </w:tc>
        <w:tc>
          <w:tcPr>
            <w:tcW w:type="dxa" w:w="12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−0.042 %</w:t>
            </w:r>
          </w:p>
        </w:tc>
        <w:tc>
          <w:tcPr>
            <w:tcW w:type="dxa" w:w="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5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12</w:t>
            </w:r>
          </w:p>
        </w:tc>
        <w:tc>
          <w:tcPr>
            <w:tcW w:type="dxa" w:w="291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Channel length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1100 mm</w:t>
            </w:r>
          </w:p>
        </w:tc>
        <w:tc>
          <w:tcPr>
            <w:tcW w:type="dxa" w:w="194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1100.000 mm</w:t>
            </w:r>
          </w:p>
        </w:tc>
        <w:tc>
          <w:tcPr>
            <w:tcW w:type="dxa" w:w="129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0</w:t>
            </w:r>
          </w:p>
        </w:tc>
        <w:tc>
          <w:tcPr>
            <w:tcW w:type="dxa" w:w="97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 w:before="0" w:line="276" w:lineRule="auto"/>
      </w:pPr>
      <w:r>
        <w:t xml:space="preserve">Invariants 2 and 3 are still OCC volumes and therefore still carry the positive bias. Their true values are marginally closer to CAD than shown, so those two passes are conservative.</w:t>
      </w:r>
    </w:p>
    <w:p>
      <w:pPr>
        <w:pStyle w:val="Heading2"/>
        <w:keepNext/>
        <w:spacing w:after="120" w:before="280"/>
      </w:pPr>
      <w:r>
        <w:t xml:space="preserve">4.3 An independent third witness</w:t>
      </w:r>
    </w:p>
    <w:p>
      <w:pPr>
        <w:spacing w:after="120" w:before="0" w:line="276" w:lineRule="auto"/>
      </w:pPr>
      <w:r>
        <w:t xml:space="preserve">A geometry can pass its own invariants and still be the wrong geometry. The Reynolds number provides an independent check, because it depends on D_h and was stated in the project brief before any of this measurement was done.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9 — Reynolds number on the converged geometry. Re = 4 ṁ / (π D_h μ), water μ = 8.55×10⁻⁴ Pa·s.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2514"/>
        <w:gridCol w:w="2933"/>
        <w:gridCol w:w="2095"/>
        <w:gridCol w:w="2096"/>
      </w:tblGrid>
      <w:tr>
        <w:trPr>
          <w:cantSplit/>
          <w:tblHeader/>
        </w:trPr>
        <w:tc>
          <w:tcPr>
            <w:tcW w:type="dxa" w:w="251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ṁ total (kg/s)</w:t>
            </w:r>
          </w:p>
        </w:tc>
        <w:tc>
          <w:tcPr>
            <w:tcW w:type="dxa" w:w="293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ṁ per channel (kg/s)</w:t>
            </w:r>
          </w:p>
        </w:tc>
        <w:tc>
          <w:tcPr>
            <w:tcW w:type="dxa" w:w="209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Re at inlet</w:t>
            </w:r>
          </w:p>
        </w:tc>
        <w:tc>
          <w:tcPr>
            <w:tcW w:type="dxa" w:w="209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Re at outlet</w:t>
            </w:r>
          </w:p>
        </w:tc>
      </w:tr>
      <w:tr>
        <w:trPr>
          <w:cantSplit/>
          <w:tblHeader w:val="false"/>
        </w:trPr>
        <w:tc>
          <w:tcPr>
            <w:tcW w:type="dxa" w:w="25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0.0010</w:t>
            </w:r>
          </w:p>
        </w:tc>
        <w:tc>
          <w:tcPr>
            <w:tcW w:type="dxa" w:w="29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8.3333×10⁻⁵</w:t>
            </w:r>
          </w:p>
        </w:tc>
        <w:tc>
          <w:tcPr>
            <w:tcW w:type="dxa" w:w="2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23.87</w:t>
            </w:r>
          </w:p>
        </w:tc>
        <w:tc>
          <w:tcPr>
            <w:tcW w:type="dxa" w:w="2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44.21</w:t>
            </w:r>
          </w:p>
        </w:tc>
      </w:tr>
      <w:tr>
        <w:trPr>
          <w:cantSplit/>
          <w:tblHeader w:val="false"/>
        </w:trPr>
        <w:tc>
          <w:tcPr>
            <w:tcW w:type="dxa" w:w="251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0.0025</w:t>
            </w:r>
          </w:p>
        </w:tc>
        <w:tc>
          <w:tcPr>
            <w:tcW w:type="dxa" w:w="293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2.0833×10⁻⁴</w:t>
            </w:r>
          </w:p>
        </w:tc>
        <w:tc>
          <w:tcPr>
            <w:tcW w:type="dxa" w:w="209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59.68</w:t>
            </w:r>
          </w:p>
        </w:tc>
        <w:tc>
          <w:tcPr>
            <w:tcW w:type="dxa" w:w="209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110.52</w:t>
            </w:r>
          </w:p>
        </w:tc>
      </w:tr>
      <w:tr>
        <w:trPr>
          <w:cantSplit/>
          <w:tblHeader w:val="false"/>
        </w:trPr>
        <w:tc>
          <w:tcPr>
            <w:tcW w:type="dxa" w:w="25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0.0045</w:t>
            </w:r>
          </w:p>
        </w:tc>
        <w:tc>
          <w:tcPr>
            <w:tcW w:type="dxa" w:w="29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3.7500×10⁻⁴</w:t>
            </w:r>
          </w:p>
        </w:tc>
        <w:tc>
          <w:tcPr>
            <w:tcW w:type="dxa" w:w="2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107.42</w:t>
            </w:r>
          </w:p>
        </w:tc>
        <w:tc>
          <w:tcPr>
            <w:tcW w:type="dxa" w:w="2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198.94</w:t>
            </w:r>
          </w:p>
        </w:tc>
      </w:tr>
    </w:tbl>
    <w:p>
      <w:pPr>
        <w:spacing w:after="120" w:before="0" w:line="276" w:lineRule="auto"/>
      </w:pPr>
      <w:r>
        <w:t xml:space="preserve">The project brief states that the corrected as-built geometry gives Re = 23.9 – 198.8. The converged geometry reproduces 23.87 – 198.94, a match to 0.07 %. The withdrawn CR-08 geometry would have given 200.43, which is 0.8 % out. The Reynolds range is therefore a third independent witness, alongside the CAD parameters and the refinement study, that CR-09 is right and CR-08 was not.</w:t>
      </w:r>
    </w:p>
    <w:p>
      <w:pPr>
        <w:spacing w:after="120" w:before="0" w:line="276" w:lineRule="auto"/>
      </w:pPr>
      <w:r>
        <w:t xml:space="preserve">Two consequences follow immediately and hold for the whole study: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The flow is deeply laminar everywhere. </w:t>
      </w:r>
      <w:r>
        <w:t xml:space="preserve">Re reaches 199 at the very most. No turbulence model is used anywhere in this work, and none is needed.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Reynolds number RISES along the channel. </w:t>
      </w:r>
      <w:r>
        <w:t xml:space="preserve">That is the converging-channel signature: the area falls faster than the perimeter, so the velocity rises faster than D_h falls. It is the opposite of a diverging channel and it is visible in every case of the production campaign.</w:t>
      </w:r>
    </w:p>
    <w:p>
      <w:pPr>
        <w:spacing w:after="40" w:before="160"/>
        <w:jc w:val="center"/>
      </w:pPr>
      <w:r>
        <w:drawing>
          <wp:inline distT="0" distB="0" distL="0" distR="0">
            <wp:extent cx="52101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6 — Reynolds number rises along the converging channel at all three mass flows. The transition value of 2300 is more than an order of magnitude away.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5. Corrections to the geometry record</w:t>
      </w:r>
    </w:p>
    <w:p>
      <w:pPr>
        <w:spacing w:after="120" w:before="0" w:line="276" w:lineRule="auto"/>
      </w:pPr>
      <w:r>
        <w:t xml:space="preserve">Six of the project's seventeen recorded corrections concern the CAD model. They are reproduced here because a reader of an earlier draft will have seen the superseded values.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10 — Geometry corrections.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688"/>
        <w:gridCol w:w="2891"/>
        <w:gridCol w:w="3304"/>
        <w:gridCol w:w="2755"/>
      </w:tblGrid>
      <w:tr>
        <w:trPr>
          <w:cantSplit/>
          <w:tblHeader/>
        </w:trPr>
        <w:tc>
          <w:tcPr>
            <w:tcW w:type="dxa" w:w="68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ID</w:t>
            </w:r>
          </w:p>
        </w:tc>
        <w:tc>
          <w:tcPr>
            <w:tcW w:type="dxa" w:w="289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What changed</w:t>
            </w:r>
          </w:p>
        </w:tc>
        <w:tc>
          <w:tcPr>
            <w:tcW w:type="dxa" w:w="330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Why</w:t>
            </w:r>
          </w:p>
        </w:tc>
        <w:tc>
          <w:tcPr>
            <w:tcW w:type="dxa" w:w="275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7"/>
                <w:szCs w:val="17"/>
              </w:rPr>
              <w:t xml:space="preserve">Discard old results?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CR-01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Channel DIVERGES (D_h 5.20 → 8.345 mm) → channel CONVERGES (D_h 5.199 → 2.807 mm)</w:t>
            </w:r>
          </w:p>
        </w:tc>
        <w:tc>
          <w:tcPr>
            <w:tcW w:type="dxa" w:w="33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The diverging build violated the design roadmap and fell outside the patent claim, which requires G to decrease within 0.35–1.00</w:t>
            </w:r>
          </w:p>
        </w:tc>
        <w:tc>
          <w:tcPr>
            <w:tcW w:type="dxa" w:w="27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YES — obsolete and scientifically invalid. Never used as a baseline, validation case, comparison or figure.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CR-02</w:t>
            </w:r>
          </w:p>
        </w:tc>
        <w:tc>
          <w:tcPr>
            <w:tcW w:type="dxa" w:w="28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Single glazing τ = 0.91 → double glazing τ_glz,sys = 0.833</w:t>
            </w:r>
          </w:p>
        </w:tc>
        <w:tc>
          <w:tcPr>
            <w:tcW w:type="dxa" w:w="330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The built collector has two panes. Absorbed flux 567.1 → 519.1 W/m² at the design point</w:t>
            </w:r>
          </w:p>
        </w:tc>
        <w:tc>
          <w:tcPr>
            <w:tcW w:type="dxa" w:w="275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YES for any absorbed-flux value computed from 0.91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CR-05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Root fillet 1.0 mm → 0.5 mm</w:t>
            </w:r>
          </w:p>
        </w:tc>
        <w:tc>
          <w:tcPr>
            <w:tcW w:type="dxa" w:w="33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At 1.0 mm the tangent-blend section degenerates at h_s = 3.0 mm and G = 0.54 becomes unreachable</w:t>
            </w:r>
          </w:p>
        </w:tc>
        <w:tc>
          <w:tcPr>
            <w:tcW w:type="dxa" w:w="27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YES for any result at r = 1.0 mm claiming G = 0.54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CR-06</w:t>
            </w:r>
          </w:p>
        </w:tc>
        <w:tc>
          <w:tcPr>
            <w:tcW w:type="dxa" w:w="28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Bridge width 34.8 mm → 31.299 mm as built</w:t>
            </w:r>
          </w:p>
        </w:tc>
        <w:tc>
          <w:tcPr>
            <w:tcW w:type="dxa" w:w="330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Follows from pitch − channel footprint</w:t>
            </w:r>
          </w:p>
        </w:tc>
        <w:tc>
          <w:tcPr>
            <w:tcW w:type="dxa" w:w="275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No — 34.8 mm remains a valid sweep point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CR-08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WITHDRAWN</w:t>
            </w:r>
          </w:p>
        </w:tc>
        <w:tc>
          <w:tcPr>
            <w:tcW w:type="dxa" w:w="33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Its premise was wrong; see CR-09</w:t>
            </w:r>
          </w:p>
        </w:tc>
        <w:tc>
          <w:tcPr>
            <w:tcW w:type="dxa" w:w="27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YES — discard the correction itself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CR-09</w:t>
            </w:r>
          </w:p>
        </w:tc>
        <w:tc>
          <w:tcPr>
            <w:tcW w:type="dxa" w:w="28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The geometry is faithful. G = 0.539935, −0.075 % from CAD</w:t>
            </w:r>
          </w:p>
        </w:tc>
        <w:tc>
          <w:tcPr>
            <w:tcW w:type="dxa" w:w="330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The error was in gmsh.model.occ.getMass, not in the model. Direct NURBS integration converges on the CAD values</w:t>
            </w:r>
          </w:p>
        </w:tc>
        <w:tc>
          <w:tcPr>
            <w:tcW w:type="dxa" w:w="275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Reverted — the CAD values govern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CR-11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Assembly renders omit the manifold port holes; the roll-bond solid is built at a nominal uniform 1.0 mm sheet thickness</w:t>
            </w:r>
          </w:p>
        </w:tc>
        <w:tc>
          <w:tcPr>
            <w:tcW w:type="dxa" w:w="33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The port holes straddle the parametric seam; the real roll-bond upper sheet thins over the dome (0.22–1.32 mm measured)</w:t>
            </w:r>
          </w:p>
        </w:tc>
        <w:tc>
          <w:tcPr>
            <w:tcW w:type="dxa" w:w="27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7"/>
                <w:szCs w:val="17"/>
              </w:rPr>
              <w:t xml:space="preserve">No — labelled ENGINEERING_ASSUMPTION, affects rendering and solid volume only. Port area is computed from the CAD boundary curves and subtracted (−813.1 mm²)</w:t>
            </w:r>
          </w:p>
        </w:tc>
      </w:tr>
    </w:tbl>
    <w:tbl>
      <w:tblPr>
        <w:tblW w:type="dxa" w:w="9638"/>
        <w:tblBorders>
          <w:top w:val="single" w:color="C0522D" w:sz="6"/>
          <w:left w:val="single" w:color="C0522D" w:sz="6"/>
          <w:bottom w:val="single" w:color="C0522D" w:sz="6"/>
          <w:right w:val="single" w:color="C0522D" w:sz="6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DF2E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The one that matters most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CR-01 is the correction a reader must not miss. An earlier build of this model had the channel GROWING from 5.20 mm to 8.345 mm. That geometry is withdrawn.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It is not used anywhere in this study as a baseline, a validation case, a comparison case, a database entry, a figure or a piece of scientific evidence. Any figure or number that shows a diverging channel belongs to the superseded build and should be discarded on sight.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t xml:space="preserve">6. What the CFD model takes from the CAD, and what it does not</w:t>
      </w:r>
    </w:p>
    <w:p>
      <w:pPr>
        <w:spacing w:after="120" w:before="0" w:line="276" w:lineRule="auto"/>
      </w:pPr>
      <w:r>
        <w:t xml:space="preserve">The CFD work does not mesh the whole assembly. It meshes the fluid void and the absorber metal, and represents everything else as a boundary condition or a material property. This section states exactly where the line was drawn.</w:t>
      </w:r>
    </w:p>
    <w:p>
      <w:pPr>
        <w:pStyle w:val="Heading2"/>
        <w:keepNext/>
        <w:spacing w:after="120" w:before="280"/>
      </w:pPr>
      <w:r>
        <w:t xml:space="preserve">6.1 Carried as geometry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The twelve fluid voids. </w:t>
      </w:r>
      <w:r>
        <w:t xml:space="preserve">18,643.963 mm³ each, taken from the true NURBS wall surface, not from a tessellation.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The roll-bond metal. </w:t>
      </w:r>
      <w:r>
        <w:t xml:space="preserve">Lower sheet 1.0 mm and upper sheet 1.0 mm nominal, on a 40 mm pitch over 1100 mm.</w:t>
      </w:r>
    </w:p>
    <w:p>
      <w:pPr>
        <w:pStyle w:val="Heading2"/>
        <w:keepNext/>
        <w:spacing w:after="120" w:before="280"/>
      </w:pPr>
      <w:r>
        <w:t xml:space="preserve">6.2 Carried as a boundary condition or property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The optical stack. </w:t>
      </w:r>
      <w:r>
        <w:t xml:space="preserve">Two panes, TIM and coating collapse to one number: 519.13 W/m² absorbed at G_T = 800 W/m².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The selective coating. </w:t>
      </w:r>
      <w:r>
        <w:t xml:space="preserve">α = 0.95, ε = 0.04 as a surface property.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The rear stack. </w:t>
      </w:r>
      <w:r>
        <w:t xml:space="preserve">VIP and backsheet as a series thermal resistance, h_rear = 3 W/m²K.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b/>
          <w:bCs/>
        </w:rPr>
        <w:t xml:space="preserve">The sky and the wind. </w:t>
      </w:r>
      <w:r>
        <w:t xml:space="preserve">T_sky = 0.0552 T_amb^1.5 in kelvin, h_wind = 5.7 + 3.8 v.</w:t>
      </w:r>
    </w:p>
    <w:p>
      <w:pPr>
        <w:pStyle w:val="Heading2"/>
        <w:keepNext/>
        <w:spacing w:after="120" w:before="280"/>
      </w:pPr>
      <w:r>
        <w:t xml:space="preserve">6.3 Not carried at all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t xml:space="preserve">The frame, mounting hardware, seals, fasteners and sensing boards. They carry no heat path that changes the absorber solution at the level this study resolves.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t xml:space="preserve">The manifold internal flow. Each channel is fed at a prescribed mass flow; manifold maldistribution is outside the scope of this study and is stated as such.</w:t>
      </w:r>
    </w:p>
    <w:p>
      <w:pPr>
        <w:spacing w:after="40" w:before="160"/>
        <w:jc w:val="center"/>
      </w:pPr>
      <w:r>
        <w:drawing>
          <wp:inline distT="0" distB="0" distL="0" distR="0">
            <wp:extent cx="6124575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7 — The CFD mesh in position inside the assembly. The enclosure is ghosted; only the absorber is solved in 3-D. Every other body enters the model through a boundary condition or a material property, not as a mesh.</w:t>
      </w:r>
    </w:p>
    <w:p>
      <w:pPr>
        <w:pStyle w:val="Heading2"/>
        <w:keepNext/>
        <w:spacing w:after="120" w:before="280"/>
      </w:pPr>
      <w:r>
        <w:t xml:space="preserve">6.4 Documented simplifications</w:t>
      </w:r>
    </w:p>
    <w:p>
      <w:pPr>
        <w:spacing w:after="120" w:before="0" w:line="276" w:lineRule="auto"/>
      </w:pPr>
      <w:r>
        <w:t xml:space="preserve">Three simplifications are recorded rather than buried, because a reader could reasonably want to challenge them: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b/>
          <w:bCs/>
        </w:rPr>
        <w:t xml:space="preserve">Uniform 1.0 mm sheet thickness. </w:t>
      </w:r>
      <w:r>
        <w:t xml:space="preserve">The real roll-bond upper sheet thins as it is formed over the dome; the marched thickness runs 0.22 to 1.32 mm with a mean of 1.08–1.23 mm. The model uses a nominal uniform 1.0 mm and lands +1.42 % on the CAD sheet-pair volume. Labelled ENGINEERING_ASSUMPTION (CR-11).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b/>
          <w:bCs/>
        </w:rPr>
        <w:t xml:space="preserve">Anisotropic materials reduced to one direction. </w:t>
      </w:r>
      <w:r>
        <w:t xml:space="preserve">The TIM honeycomb (0.075 perpendicular / 0.16 parallel W/m·K) and the graphite interface (300 parallel / 5 perpendicular) are anisotropic, and the solid thermophysics in OpenFOAM v1912 is isotropic per region. Through-thickness conduction governs for both, so the perpendicular value is used and the in-plane value is recorded — not silently averaged.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b/>
          <w:bCs/>
        </w:rPr>
        <w:t xml:space="preserve">Constant water properties at 300 K. </w:t>
      </w:r>
      <w:r>
        <w:t xml:space="preserve">Viscosity falls from 8.55×10⁻⁴ Pa·s at 300 K to about 4.7×10⁻⁴ at 333 K. The baseline uses constant properties and this is flagged as requiring a temperature-dependent-viscosity sensitivity case before the assumption is finally accepted.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7. Summary of governing dimensions</w:t>
      </w:r>
    </w:p>
    <w:p>
      <w:pPr>
        <w:spacing w:after="120" w:before="0" w:line="276" w:lineRule="auto"/>
      </w:pPr>
      <w:r>
        <w:t xml:space="preserve">Every number in this table is measured from the CAD model and is the value the CFD study actually used.</w:t>
      </w:r>
    </w:p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11 — Governing geometry, as meshed.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3691"/>
        <w:gridCol w:w="2461"/>
        <w:gridCol w:w="3486"/>
      </w:tblGrid>
      <w:tr>
        <w:trPr>
          <w:cantSplit/>
          <w:tblHeader/>
        </w:trPr>
        <w:tc>
          <w:tcPr>
            <w:tcW w:type="dxa" w:w="369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Quantity</w:t>
            </w:r>
          </w:p>
        </w:tc>
        <w:tc>
          <w:tcPr>
            <w:tcW w:type="dxa" w:w="246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Value</w:t>
            </w:r>
          </w:p>
        </w:tc>
        <w:tc>
          <w:tcPr>
            <w:tcW w:type="dxa" w:w="348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Number of channels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CAD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Channel pitch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40.000000 mm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CAD, exact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Channel length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1100.000 mm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CAD, exact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Absorber plate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1100 × 480 mm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CAD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Lower sheet thickness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1.0 mm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CAD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Upper sheet thickness (nominal)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1.0 mm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ENGINEERING_ASSUMPTION, CR-11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Root fillet radius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0.5 mm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Decision D4, CR-05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Hydraulic diameter, inlet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5.198875 mm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NURBS, converged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Hydraulic diameter, outlet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2.807053 mm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NURBS, converged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Grading ratio G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0.539935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NURBS, converged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Grading exponent λ_G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1.0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Confirmed, ≤ 0.49 % over ξ = 0.10–0.90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Flow area, inlet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28.056939 mm²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NURBS, converged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Flow area, outlet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7.921436 mm²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NURBS, converged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Wetted perimeter, inlet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21.5865 mm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Wetted perimeter, outlet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11.2884 mm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Channel footprint width, inlet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8.714056 mm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Direct NURBS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Bridge width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31.285944 mm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pitch − footprint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Fluid volume per channel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18,643.963 mm³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CAD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Periodic face area, 2-channel strip</w:t>
            </w:r>
          </w:p>
        </w:tc>
        <w:tc>
          <w:tcPr>
            <w:tcW w:type="dxa" w:w="2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2200.000000 mm²</w:t>
            </w:r>
          </w:p>
        </w:tc>
        <w:tc>
          <w:tcPr>
            <w:tcW w:type="dxa" w:w="3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CAD, exact</w:t>
            </w:r>
          </w:p>
        </w:tc>
      </w:tr>
      <w:tr>
        <w:trPr>
          <w:cantSplit/>
          <w:tblHeader w:val="false"/>
        </w:trPr>
        <w:tc>
          <w:tcPr>
            <w:tcW w:type="dxa" w:w="369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Absorbed flux at G_T = 800 W/m²</w:t>
            </w:r>
          </w:p>
        </w:tc>
        <w:tc>
          <w:tcPr>
            <w:tcW w:type="dxa" w:w="246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519.13 W/m²</w:t>
            </w:r>
          </w:p>
        </w:tc>
        <w:tc>
          <w:tcPr>
            <w:tcW w:type="dxa" w:w="348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Optical chain, CR-02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7.1 Where to look next</w:t>
      </w:r>
    </w:p>
    <w:p>
      <w:pPr>
        <w:spacing w:after="120" w:before="0" w:line="276" w:lineRule="auto"/>
      </w:pPr>
      <w:r>
        <w:t xml:space="preserve">The companion document, the CFD Simulation Report, takes this geometry and describes what was computed on it: the mesh, the solver, the verification, the production campaign of 300 cases, the uncertainty assessment, and the two patent-supporting studies. Its Section 2 begins exactly where this document ends.</w:t>
      </w:r>
    </w:p>
    <w:p>
      <w:pPr>
        <w:spacing w:after="40" w:before="160"/>
        <w:jc w:val="center"/>
      </w:pPr>
      <w:r>
        <w:drawing>
          <wp:inline distT="0" distB="0" distL="0" distR="0">
            <wp:extent cx="612457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Figure 8 — The full 12-channel absorber, meshed. 1,828,800 hexahedra, 2,100,852 nodes, 100 % hexahedral, zero inverted cells.</w:t>
      </w:r>
    </w:p>
    <w:p>
      <w:pPr>
        <w:pStyle w:val="Heading1"/>
        <w:pageBreakBefore/>
      </w:pPr>
      <w:r>
        <w:t xml:space="preserve">8. Final status of the CAD model (CFD phase closed, Dataset Rev 4.1)</w:t>
      </w:r>
    </w:p>
    <w:p>
      <w:pPr>
        <w:spacing w:after="120" w:before="0" w:line="276" w:lineRule="auto"/>
      </w:pPr>
      <w:r>
        <w:t xml:space="preserve">This section was added when the CFD phase closed. Sections 1–7 are unchanged. The geometry itself did not change after Gate A; this section records how it was used downstream and what remains open.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Item</w:t>
            </w:r>
          </w:p>
        </w:tc>
        <w:tc>
          <w:tcPr>
            <w:tcW w:type="dxa" w:w="616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Channel geometry (converging, G = 0.539935)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FINAL — used unchanged by every CFD result of the closed phase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3-D conjugate benchmark domain</w:t>
            </w:r>
          </w:p>
        </w:tc>
        <w:tc>
          <w:tcPr>
            <w:tcW w:type="dxa" w:w="616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2-channel periodic strip, 1100 × 80 mm, taken from this CAD plate (taper alternates channel to channel)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Meshed inlet section (NU 64)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27.9726 mm² vs CAD 28.0569 mm² (−0.30 %, polygonal approximation); ROM run at the 3-D flow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Solar-facing surface of the strip</w:t>
            </w:r>
          </w:p>
        </w:tc>
        <w:tc>
          <w:tcPr>
            <w:tcW w:type="dxa" w:w="616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Curved 0.098723 m² vs plan 0.088000 m²; flux applied per plan area (h = U·n_z)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Cross-section meshes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NU 48 / 64 / 96 × NR 4 / 5 / 8; axial NX 60 / 120 / 240 — all from this geometry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Frame wall thickness, manifold dimensions (roadmap C7, C8)</w:t>
            </w:r>
          </w:p>
        </w:tc>
        <w:tc>
          <w:tcPr>
            <w:tcW w:type="dxa" w:w="616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OPEN — ENGINEERING_ASSUMPTION in the CAD; not used by any CFD result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Bridge-width range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Campaign 20–37 mm (hard limit: channel ≥ 3 mm at 40 mm pitch) vs roadmap B3 20–60 mm — DESIGN_REVIEW_REQUIRED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Root-fillet sweep 0.5–2.0 mm (roadmap D4)</w:t>
            </w:r>
          </w:p>
        </w:tc>
        <w:tc>
          <w:tcPr>
            <w:tcW w:type="dxa" w:w="616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RUN — fillet fixed at the CAD value</w:t>
            </w:r>
          </w:p>
        </w:tc>
      </w:tr>
      <w:tr>
        <w:trPr>
          <w:cantSplit/>
          <w:tblHeader w:val="false"/>
        </w:trPr>
        <w:tc>
          <w:tcPr>
            <w:tcW w:type="dxa" w:w="3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Superseded diverging-channel geometry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used anywhere as baseline, comparison or evidence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D5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124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B4F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12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4A4D5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06bbe6e320c0bbb69c77c230356c20d965a4651.png"/><Relationship Id="rId9" Type="http://schemas.openxmlformats.org/officeDocument/2006/relationships/image" Target="media/78662e7bdfeb9a0c28f70b2ece078bab47dd4f4d.png"/><Relationship Id="rId10" Type="http://schemas.openxmlformats.org/officeDocument/2006/relationships/image" Target="media/b6f71829b214b97ad97ab000e4eb7e5df62a8545.png"/><Relationship Id="rId11" Type="http://schemas.openxmlformats.org/officeDocument/2006/relationships/image" Target="media/fbef7d6bacfbbd6eaee959f6dcef3294267eba04.png"/><Relationship Id="rId12" Type="http://schemas.openxmlformats.org/officeDocument/2006/relationships/image" Target="media/389b3909223540809edf407d0b0ec6da9c7bf278.png"/><Relationship Id="rId13" Type="http://schemas.openxmlformats.org/officeDocument/2006/relationships/image" Target="media/47a0d4a40dca047944d317b528c794e234845727.png"/><Relationship Id="rId14" Type="http://schemas.openxmlformats.org/officeDocument/2006/relationships/image" Target="media/6fee7d3c48511dff347d130ea355cf1da7c55f25.png"/><Relationship Id="rId15" Type="http://schemas.openxmlformats.org/officeDocument/2006/relationships/image" Target="media/5b296e36b1e6586f6c25a939b33b7db4fd8a202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GRAIL Collector — CAD Model Report</dc:title>
  <dc:creator>GRAIL Collector project</dc:creator>
  <dc:description>Geometry of the GRAIL advanced flat-plate solar thermal collector</dc:description>
  <cp:lastModifiedBy>Un-named</cp:lastModifiedBy>
  <cp:revision>1</cp:revision>
  <dcterms:created xsi:type="dcterms:W3CDTF">2026-09-22T16:03:19.636Z</dcterms:created>
  <dcterms:modified xsi:type="dcterms:W3CDTF">2026-09-22T16:03:19.636Z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