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80"/>
        <w:jc w:val="center"/>
      </w:pPr>
      <w:r>
        <w:rPr>
          <w:b/>
          <w:bCs/>
          <w:color w:val="1B4F7A"/>
          <w:sz w:val="44"/>
          <w:szCs w:val="44"/>
        </w:rPr>
        <w:t xml:space="preserve">THE GRAIL COLLECTOR</w:t>
      </w:r>
    </w:p>
    <w:p>
      <w:pPr>
        <w:spacing w:after="300"/>
        <w:jc w:val="center"/>
      </w:pPr>
      <w:r>
        <w:rPr>
          <w:sz w:val="32"/>
          <w:szCs w:val="32"/>
        </w:rPr>
        <w:t xml:space="preserve">Dataset Audit Addendum</w:t>
      </w:r>
    </w:p>
    <w:p>
      <w:pPr>
        <w:spacing w:after="460"/>
        <w:jc w:val="center"/>
      </w:pPr>
      <w:r>
        <w:rPr>
          <w:i/>
          <w:iCs/>
          <w:color w:val="4A4D52"/>
          <w:sz w:val="21"/>
          <w:szCs w:val="21"/>
        </w:rPr>
        <w:t xml:space="preserve">An independent engineering and CFD audit of GRAIL_CFD_dataset_rev2.csv, and the eight reporting corrections it requires.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6361"/>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636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Dataset audited</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GRAIL_CFD_dataset_rev2.csv, 300 rows x 54 columns</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Method</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Independent recomputation of every derived column from its inputs</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Data modified</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NONE — no row deleted, corrected, smoothed or replaced</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Critical engineering errors found</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Conservation-law violations found</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Corrections required</w:t>
            </w:r>
          </w:p>
        </w:tc>
        <w:tc>
          <w:tcPr>
            <w:tcW w:type="dxa" w:w="636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 all in reporting and nomenclature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Results invalidated</w:t>
            </w:r>
          </w:p>
        </w:tc>
        <w:tc>
          <w:tcPr>
            <w:tcW w:type="dxa" w:w="636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w:t>
            </w:r>
          </w:p>
        </w:tc>
      </w:tr>
    </w:tbl>
    <w:p>
      <w:pPr>
        <w:spacing w:after="700"/>
      </w:pPr>
    </w:p>
    <w:p>
      <w:pPr>
        <w:jc w:val="center"/>
      </w:pPr>
      <w:r>
        <w:rPr>
          <w:color w:val="4A4D52"/>
          <w:sz w:val="19"/>
          <w:szCs w:val="19"/>
        </w:rPr>
        <w:t xml:space="preserve">Companion to the CFD Simulation Report</w:t>
      </w:r>
    </w:p>
    <w:p>
      <w:pPr>
        <w:sectPr>
          <w:footerReference w:type="default" r:id="rId7"/>
          <w:pgSz w:w="11906" w:h="16838" w:orient="portrait"/>
          <w:pgMar w:top="1134" w:right="1134" w:bottom="1134" w:left="1134" w:header="708" w:footer="708" w:gutter="0"/>
          <w:pgNumType/>
          <w:docGrid w:linePitch="360"/>
        </w:sectPr>
      </w:pPr>
    </w:p>
    <w:p>
      <w:pPr>
        <w:pStyle w:val="Heading1"/>
        <w:keepNext/>
        <w:pageBreakBefore/>
        <w:spacing w:after="16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line="276" w:lineRule="auto"/>
      </w:pPr>
      <w:r>
        <w:rPr>
          <w:i/>
          <w:iCs/>
          <w:color w:val="4A4D52"/>
          <w:sz w:val="17"/>
          <w:szCs w:val="17"/>
        </w:rPr>
        <w:t xml:space="preserve">(In Word: right-click the field and choose Update Field.)</w:t>
      </w:r>
    </w:p>
    <w:p>
      <w:pPr>
        <w:pStyle w:val="Heading1"/>
        <w:keepNext/>
        <w:pageBreakBefore/>
        <w:spacing w:after="160" w:before="0"/>
      </w:pPr>
      <w:r>
        <w:t xml:space="preserve">1. Purpose and method</w:t>
      </w:r>
    </w:p>
    <w:p>
      <w:pPr>
        <w:spacing w:after="120" w:before="0" w:line="276" w:lineRule="auto"/>
      </w:pPr>
      <w:r>
        <w:t xml:space="preserve">This addendum records an audit of the reported dataset carried out to a single rule: verify everything, change nothing. Every derived column was recomputed independently from its own inputs and compared against the stored value. No row was deleted, corrected, smoothed, replaced or reweighted, and no unusual result was altered because it was unusual.</w:t>
      </w:r>
    </w:p>
    <w:p>
      <w:pPr>
        <w:spacing w:after="120" w:before="0" w:line="276" w:lineRule="auto"/>
      </w:pPr>
      <w:r>
        <w:t xml:space="preserve">The audit found no critical engineering error and no violation of any conservation law. It found eight items requiring correction, and every one of them is a correction to how a result is DESCRIBED, not to the result itself. This document states each one, gives the dataset evidence, and says exactly what changes in the reporting.</w:t>
      </w:r>
    </w:p>
    <w:p>
      <w:pPr>
        <w:pStyle w:val="Heading2"/>
        <w:keepNext/>
        <w:spacing w:after="120" w:before="280"/>
      </w:pPr>
      <w:r>
        <w:t xml:space="preserve">1.1 What was verified exactly</w:t>
      </w:r>
    </w:p>
    <w:p>
      <w:pPr>
        <w:spacing w:after="120" w:before="0" w:line="276" w:lineRule="auto"/>
      </w:pPr>
      <w:r>
        <w:t xml:space="preserve">The following relations were recomputed from first principles across all 300 rows. They are not merely plausible — they close to machine precision, which means the dataset is algebraically self-consistent.</w:t>
      </w:r>
    </w:p>
    <w:p>
      <w:pPr>
        <w:keepNext/>
        <w:spacing w:after="60" w:before="120"/>
      </w:pPr>
      <w:r>
        <w:rPr>
          <w:i/>
          <w:iCs/>
          <w:color w:val="4A4D52"/>
          <w:sz w:val="17"/>
          <w:szCs w:val="17"/>
        </w:rPr>
        <w:t xml:space="preserve">Table 1 — Independent verification of every derived relation.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168"/>
        <w:gridCol w:w="3470"/>
      </w:tblGrid>
      <w:tr>
        <w:trPr>
          <w:cantSplit/>
          <w:tblHeader/>
        </w:trPr>
        <w:tc>
          <w:tcPr>
            <w:tcW w:type="dxa" w:w="6168"/>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Relation verified</w:t>
            </w:r>
          </w:p>
        </w:tc>
        <w:tc>
          <w:tcPr>
            <w:tcW w:type="dxa" w:w="347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Maximum error over 300 rows</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 / mdot_channel = 12 exactly</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 = G_T x 0.833 x 0.82 x 0.95</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1.1e-13</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 = q″ x 0.528 m²  (1.1 x 0.48)</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5.7e-14</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Q_u = mdot x c_p x dT,  c_p = 4180</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&lt; 1e-6 %</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dT = T_out − T_in</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1.1e-13</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 = Q_u + Q_rad + Q_conv + Q_rear</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1.43e-04 W  =  9.83e-05 %</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 = 4 mdot / (pi D_h mu)</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8.0e-13</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mu(T), Vogel relation</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2.3e-13</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W_pump = dp x mdot / rho</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9.5e-13</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D_h,out = D_h,in x G ;  A_out = A_in x G²</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1.4e-14</w:t>
            </w:r>
          </w:p>
        </w:tc>
      </w:tr>
      <w:tr>
        <w:trPr>
          <w:cantSplit/>
          <w:tblHeader w:val="false"/>
        </w:trPr>
        <w:tc>
          <w:tcPr>
            <w:tcW w:type="dxa" w:w="6168"/>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T_sky = 0.0552 T_amb^1.5 ;  h_wind = 5.7 + 3.8 v</w:t>
            </w:r>
          </w:p>
        </w:tc>
        <w:tc>
          <w:tcPr>
            <w:tcW w:type="dxa" w:w="347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1.7e-13</w:t>
            </w:r>
          </w:p>
        </w:tc>
      </w:tr>
      <w:tr>
        <w:trPr>
          <w:cantSplit/>
          <w:tblHeader w:val="false"/>
        </w:trPr>
        <w:tc>
          <w:tcPr>
            <w:tcW w:type="dxa" w:w="6168"/>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eta = Q_u / (G_T x A)</w:t>
            </w:r>
          </w:p>
        </w:tc>
        <w:tc>
          <w:tcPr>
            <w:tcW w:type="dxa" w:w="347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2.2e-16</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energy balance is real, not self-referential</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stored energy_error_pct column was not taken on trust. The balance was recomputed from the four component columns Q_u, Q_rad, Q_conv and Q_rear against Q_solar, and the recomputation reproduces the stored value to the last digit.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Maximum residual across 300 cases: 1.43e-04 W, which is 9.83e-05 % of the absorbed power.</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 conservation law is violated anywhere in the dataset.</w:t>
            </w:r>
          </w:p>
        </w:tc>
      </w:tr>
    </w:tbl>
    <w:p>
      <w:pPr>
        <w:spacing w:after="120" w:before="140" w:line="276" w:lineRule="auto"/>
      </w:pPr>
      <w:r>
        <w:t xml:space="preserve">Eight physical ordering tests were also applied, with zero violations in 300 rows: T_max ≥ T_mean ≥ T_min; P90 ≤ P95 ≤ P99 ≤ T_max; spread = max − min; std ≤ spread; mean(T⁴) ≥ mean(T)⁴ (Jensen's inequality); T_R4 = R4^0.25; T_out &gt; T_in; and dp &gt; 0.</w:t>
      </w:r>
    </w:p>
    <w:p>
      <w:pPr>
        <w:pStyle w:val="Heading1"/>
        <w:keepNext/>
        <w:pageBreakBefore/>
        <w:spacing w:after="160" w:before="0"/>
      </w:pPr>
      <w:r>
        <w:t xml:space="preserve">2. Item 1 — nu_cfd is a fixed closure, not a per-case CFD result</w:t>
      </w:r>
    </w:p>
    <w:p>
      <w:pPr>
        <w:spacing w:after="120" w:before="0" w:line="276" w:lineRule="auto"/>
      </w:pPr>
      <w:r>
        <w:t xml:space="preserve">Classification: MAJOR METHODOLOGICAL. This is the most important item in the audit.</w:t>
      </w:r>
    </w:p>
    <w:p>
      <w:pPr>
        <w:pStyle w:val="Heading2"/>
        <w:keepNext/>
        <w:spacing w:after="120" w:before="280"/>
      </w:pPr>
      <w:r>
        <w:t xml:space="preserve">2.1 The evidence</w:t>
      </w:r>
    </w:p>
    <w:p>
      <w:pPr>
        <w:keepNext/>
        <w:spacing w:after="60" w:before="120"/>
      </w:pPr>
      <w:r>
        <w:rPr>
          <w:i/>
          <w:iCs/>
          <w:color w:val="4A4D52"/>
          <w:sz w:val="17"/>
          <w:szCs w:val="17"/>
        </w:rPr>
        <w:t xml:space="preserve">Table 2 — nu_cfd against the range of conditions it is applied over.</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855"/>
        <w:gridCol w:w="5783"/>
      </w:tblGrid>
      <w:tr>
        <w:trPr>
          <w:cantSplit/>
          <w:tblHeader/>
        </w:trPr>
        <w:tc>
          <w:tcPr>
            <w:tcW w:type="dxa" w:w="385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578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Range across the 300 cases</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nu_cfd</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2.9238 on every row — exactly one distinct value</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 inlet</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29.1 to 200.0</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 outlet</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36.3 to 540.4</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Prandtl number</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2.41 to 6.84 — a factor of 2.84</w:t>
            </w:r>
          </w:p>
        </w:tc>
      </w:tr>
      <w:tr>
        <w:trPr>
          <w:cantSplit/>
          <w:tblHeader w:val="false"/>
        </w:trPr>
        <w:tc>
          <w:tcPr>
            <w:tcW w:type="dxa" w:w="385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 fluid temperature</w:t>
            </w:r>
          </w:p>
        </w:tc>
        <w:tc>
          <w:tcPr>
            <w:tcW w:type="dxa" w:w="578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293.3 to 353.0 K</w:t>
            </w:r>
          </w:p>
        </w:tc>
      </w:tr>
      <w:tr>
        <w:trPr>
          <w:cantSplit/>
          <w:tblHeader w:val="false"/>
        </w:trPr>
        <w:tc>
          <w:tcPr>
            <w:tcW w:type="dxa" w:w="385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Grading ratio G</w:t>
            </w:r>
          </w:p>
        </w:tc>
        <w:tc>
          <w:tcPr>
            <w:tcW w:type="dxa" w:w="578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0.351 to 0.998</w:t>
            </w:r>
          </w:p>
        </w:tc>
      </w:tr>
    </w:tbl>
    <w:p>
      <w:pPr>
        <w:spacing w:after="120" w:before="0" w:line="276" w:lineRule="auto"/>
      </w:pPr>
      <w:r>
        <w:t xml:space="preserve">For laminar internal flow, Nu = f(Re, Pr, Gz, section shape). A quantity genuinely extracted from each case's own CFD solution could not be constant to five significant figures while the Prandtl number alone changes by a factor of 2.84.</w:t>
      </w:r>
    </w:p>
    <w:p>
      <w:pPr>
        <w:pStyle w:val="Heading2"/>
        <w:keepNext/>
        <w:spacing w:after="120" w:before="280"/>
      </w:pPr>
      <w:r>
        <w:t xml:space="preserve">2.2 What it actually is</w:t>
      </w:r>
    </w:p>
    <w:p>
      <w:pPr>
        <w:spacing w:after="120" w:before="0" w:line="276" w:lineRule="auto"/>
      </w:pPr>
      <w:r>
        <w:t xml:space="preserve">The value 2.9238 is the Richardson extrapolation of the three-level 3-D grid study (3.7397 at 34,304 cells, 3.4282 at 105,600, 3.2236 at 356,400; observed order p = 1.283, GCI 11.63 %). It is a single developed-region constant applied as a closure to every case. That is a legitimate modelling choice. Presenting it under a column name that implies per-case CFD extraction is not.</w:t>
      </w:r>
    </w:p>
    <w:p>
      <w:pPr>
        <w:pStyle w:val="Heading2"/>
        <w:keepNext/>
        <w:spacing w:after="120" w:before="280"/>
      </w:pPr>
      <w:r>
        <w:t xml:space="preserve">2.3 What changes</w:t>
      </w:r>
    </w:p>
    <w:p>
      <w:pPr>
        <w:pStyle w:val="ListParagraph"/>
        <w:numPr>
          <w:ilvl w:val="0"/>
          <w:numId w:val="2"/>
        </w:numPr>
        <w:spacing w:after="80" w:before="0" w:line="276" w:lineRule="auto"/>
      </w:pPr>
      <w:r>
        <w:t xml:space="preserve">The column is to be described everywhere as nu_closure — a fixed Nusselt closure taken from the resolved 3-D CFD — and never as a per-case CFD output. The CSV column name is left unchanged so that existing scripts and figures still run; the data dictionary carries the correction.</w:t>
      </w:r>
    </w:p>
    <w:p>
      <w:pPr>
        <w:pStyle w:val="ListParagraph"/>
        <w:numPr>
          <w:ilvl w:val="0"/>
          <w:numId w:val="2"/>
        </w:numPr>
        <w:spacing w:after="80" w:before="0" w:line="276" w:lineRule="auto"/>
      </w:pPr>
      <w:r>
        <w:t xml:space="preserve">Every table and figure derived from the campaign must state that a constant Nu is carried.</w:t>
      </w:r>
    </w:p>
    <w:p>
      <w:pPr>
        <w:pStyle w:val="ListParagraph"/>
        <w:numPr>
          <w:ilvl w:val="0"/>
          <w:numId w:val="2"/>
        </w:numPr>
        <w:spacing w:after="80" w:before="0" w:line="276" w:lineRule="auto"/>
      </w:pPr>
      <w:r>
        <w:t xml:space="preserve">The cost of the assumption is already quantified and must be quoted alongside the result: carrying the measured Nu(xi) profile instead of a constant moves the plate-spread difference from −21.09 % to −6.85 % at matched developed-region mean, a shift of +14.24 percentage points, which is larger than every numerical and input uncertainty in the assessment combined.</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supports the assumption, from the dataset itself</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thermal entry length x_fd,t = 0.05 Re Pr D_h was computed for all 300 cases. It ranges 0.037 to 0.163 m against a channel length of 1.100 m.</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In EVERY case the flow is thermally developed over at least 85 % of the channel, and in no case does the entry region exceed 15 % of the length.</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A developed-region constant is therefore a defensible first approximation on this geometry. It is still an approximation, and its cost is the +14.24 pp above.</w:t>
            </w:r>
          </w:p>
        </w:tc>
      </w:tr>
    </w:tbl>
    <w:p>
      <w:pPr>
        <w:spacing w:after="120" w:before="140" w:line="276" w:lineRule="auto"/>
      </w:pPr>
      <w:r>
        <w:t xml:space="preserve">Verdict on the CFD results: VALID, MODEL-FORM LIMITED. No result is invalidated. The uniformity claim must carry the model-form qualifier; the efficiency claim moves by only −0.57 pp under the same test and is unaffected.</w:t>
      </w:r>
    </w:p>
    <w:p>
      <w:pPr>
        <w:pStyle w:val="Heading1"/>
        <w:keepNext/>
        <w:pageBreakBefore/>
        <w:spacing w:after="160" w:before="0"/>
      </w:pPr>
      <w:r>
        <w:t xml:space="preserve">3. Item 2 — U_L is ill-conditioned in 20 cases, and the campaign statistic is restated</w:t>
      </w:r>
    </w:p>
    <w:p>
      <w:pPr>
        <w:spacing w:after="120" w:before="0" w:line="276" w:lineRule="auto"/>
      </w:pPr>
      <w:r>
        <w:t xml:space="preserve">Classification: MAJOR, AFFECTS A REPORTED STATISTIC. This item changes a published number.</w:t>
      </w:r>
    </w:p>
    <w:p>
      <w:pPr>
        <w:pStyle w:val="Heading2"/>
        <w:keepNext/>
        <w:spacing w:after="120" w:before="280"/>
      </w:pPr>
      <w:r>
        <w:t xml:space="preserve">3.1 The evidence</w:t>
      </w:r>
    </w:p>
    <w:p>
      <w:pPr>
        <w:spacing w:after="120" w:before="0" w:line="276" w:lineRule="auto"/>
      </w:pPr>
      <w:r>
        <w:t xml:space="preserve">The definition was confirmed against the data to 1.0e-4 relative:</w:t>
      </w:r>
    </w:p>
    <w:p>
      <w:pPr>
        <w:spacing w:after="180" w:before="140" w:line="276" w:lineRule="auto"/>
        <w:jc w:val="center"/>
      </w:pPr>
      <w:r>
        <w:rPr>
          <w:b/>
          <w:bCs/>
          <w:sz w:val="22"/>
          <w:szCs w:val="22"/>
        </w:rPr>
        <w:t xml:space="preserve">U_L = (Q_rad + Q_conv + Q_rear) / (A × (T_plate,mean − T_amb))</w:t>
      </w:r>
    </w:p>
    <w:p>
      <w:pPr>
        <w:spacing w:after="120" w:before="0" w:line="276" w:lineRule="auto"/>
      </w:pPr>
      <w:r>
        <w:t xml:space="preserve">The denominator (T_plate,mean − T_amb) spans −8.54 to +88.53 K across the campaign. Where it approaches zero, U_L diverges.</w:t>
      </w:r>
    </w:p>
    <w:p>
      <w:pPr>
        <w:keepNext/>
        <w:spacing w:after="60" w:before="120"/>
      </w:pPr>
      <w:r>
        <w:rPr>
          <w:i/>
          <w:iCs/>
          <w:color w:val="4A4D52"/>
          <w:sz w:val="17"/>
          <w:szCs w:val="17"/>
        </w:rPr>
        <w:t xml:space="preserve">Table 3 — U_L conditioned on the size of the driving temperature difference.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1542"/>
        <w:gridCol w:w="3277"/>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Subset</w:t>
            </w:r>
          </w:p>
        </w:tc>
        <w:tc>
          <w:tcPr>
            <w:tcW w:type="dxa" w:w="154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Rows</w:t>
            </w:r>
          </w:p>
        </w:tc>
        <w:tc>
          <w:tcPr>
            <w:tcW w:type="dxa" w:w="327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U_L range (W/m²K)</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|T_plate,mean − T_amb| &lt; 5 K</w:t>
            </w:r>
          </w:p>
        </w:tc>
        <w:tc>
          <w:tcPr>
            <w:tcW w:type="dxa" w:w="154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20</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−21.86 to +25.27</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|T_plate,mean − T_amb| ≥ 5 K</w:t>
            </w:r>
          </w:p>
        </w:tc>
        <w:tc>
          <w:tcPr>
            <w:tcW w:type="dxa" w:w="154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280</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0.850 to 3.440</w:t>
            </w:r>
          </w:p>
        </w:tc>
      </w:tr>
    </w:tbl>
    <w:p>
      <w:pPr>
        <w:spacing w:after="120" w:before="0" w:line="276" w:lineRule="auto"/>
      </w:pPr>
      <w:r>
        <w:t xml:space="preserve">The 280-row population is tight and physically sensible. The 20-row tail is a small-denominator artifact of the definition, not a property of the collector and not a defect in the CFD. The five rows with negative U_L all have a negative denominator (−1.125 to −0.257 K) with a positive numerator (1.07 to 2.98 W).</w:t>
      </w:r>
    </w:p>
    <w:p>
      <w:pPr>
        <w:pStyle w:val="Heading2"/>
        <w:keepNext/>
        <w:spacing w:after="120" w:before="280"/>
      </w:pPr>
      <w:r>
        <w:t xml:space="preserve">3.2 The consequence — a reported result is restated</w:t>
      </w:r>
    </w:p>
    <w:p>
      <w:pPr>
        <w:spacing w:after="120" w:before="0" w:line="276" w:lineRule="auto"/>
      </w:pPr>
      <w:r>
        <w:t xml:space="preserve">The CFD Simulation Report quotes a campaign loss-coefficient difference of −0.90 ± 22.93 % and marks it NOT DISTINGUISHABLE. That ±23 % band is now shown to be dominated by division by a near-zero temperature difference in 20 of 300 rows, not by any real uncertainty in the loss coefficient.</w:t>
      </w:r>
    </w:p>
    <w:p>
      <w:pPr>
        <w:keepNext/>
        <w:spacing w:after="60" w:before="120"/>
      </w:pPr>
      <w:r>
        <w:rPr>
          <w:i/>
          <w:iCs/>
          <w:color w:val="4A4D52"/>
          <w:sz w:val="17"/>
          <w:szCs w:val="17"/>
        </w:rPr>
        <w:t xml:space="preserve">Table 4 — Delta U_L, alternating minus co-current, against the conditioning threshold.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1157"/>
        <w:gridCol w:w="1638"/>
        <w:gridCol w:w="1638"/>
        <w:gridCol w:w="1735"/>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Threshold on |T_plate,mean − T_amb|</w:t>
            </w:r>
          </w:p>
        </w:tc>
        <w:tc>
          <w:tcPr>
            <w:tcW w:type="dxa" w:w="115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Rows</w:t>
            </w:r>
          </w:p>
        </w:tc>
        <w:tc>
          <w:tcPr>
            <w:tcW w:type="dxa" w:w="16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co-current</w:t>
            </w:r>
          </w:p>
        </w:tc>
        <w:tc>
          <w:tcPr>
            <w:tcW w:type="dxa" w:w="163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alternating</w:t>
            </w:r>
          </w:p>
        </w:tc>
        <w:tc>
          <w:tcPr>
            <w:tcW w:type="dxa" w:w="173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Difference</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 K (all rows, as published)</w:t>
            </w:r>
          </w:p>
        </w:tc>
        <w:tc>
          <w:tcPr>
            <w:tcW w:type="dxa" w:w="11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300</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2.253</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2.232</w:t>
            </w:r>
          </w:p>
        </w:tc>
        <w:tc>
          <w:tcPr>
            <w:tcW w:type="dxa" w:w="173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−0.94 %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2 K</w:t>
            </w:r>
          </w:p>
        </w:tc>
        <w:tc>
          <w:tcPr>
            <w:tcW w:type="dxa" w:w="11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291</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2.356</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2.254</w:t>
            </w:r>
          </w:p>
        </w:tc>
        <w:tc>
          <w:tcPr>
            <w:tcW w:type="dxa" w:w="173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−4.35 %</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 5 K (recommended)</w:t>
            </w:r>
          </w:p>
        </w:tc>
        <w:tc>
          <w:tcPr>
            <w:tcW w:type="dxa" w:w="115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280</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2.307</w:t>
            </w:r>
          </w:p>
        </w:tc>
        <w:tc>
          <w:tcPr>
            <w:tcW w:type="dxa" w:w="163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2.262</w:t>
            </w:r>
          </w:p>
        </w:tc>
        <w:tc>
          <w:tcPr>
            <w:tcW w:type="dxa" w:w="173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−1.95 %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 10 K</w:t>
            </w:r>
          </w:p>
        </w:tc>
        <w:tc>
          <w:tcPr>
            <w:tcW w:type="dxa" w:w="115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260</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2.303</w:t>
            </w:r>
          </w:p>
        </w:tc>
        <w:tc>
          <w:tcPr>
            <w:tcW w:type="dxa" w:w="163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2.260</w:t>
            </w:r>
          </w:p>
        </w:tc>
        <w:tc>
          <w:tcPr>
            <w:tcW w:type="dxa" w:w="173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−1.87 %</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restated result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On the conditioned subset (280 rows, |T_plate,mean − T_amb| ≥ 5 K):</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Delta U_L = −1.95 % ± 2.52 pp (k = 2).</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verdict is unchanged — it still spans zero and is still NOT distinguishable. But the expanded band falls from ±22.93 pp to ±2.52 pp, a factor of nine.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statement therefore strengthens, from 'too noisy to tell' to 'genuinely no measurable difference'. That is a better scientific claim, and it costs nothing, because the conditioning removes an artifact of the estimator rather than any data.</w:t>
            </w:r>
          </w:p>
        </w:tc>
      </w:tr>
    </w:tbl>
    <w:p>
      <w:pPr>
        <w:spacing w:after="120" w:before="140" w:line="276" w:lineRule="auto"/>
      </w:pPr>
      <w:r>
        <w:t xml:space="preserve">The 20 excluded rows are NOT deleted from the dataset. They remain in the file, they remain valid cases, and every other quantity computed from them (efficiency, useful heat, plate statistics, energy balance) is retained and used. Only the U_L statistic, which is undefined in that regime, is reported on the conditioned subset — and the threshold is stated wherever it is used.</w:t>
      </w:r>
    </w:p>
    <w:p>
      <w:pPr>
        <w:spacing w:after="120" w:before="0" w:line="276" w:lineRule="auto"/>
      </w:pPr>
      <w:r>
        <w:t xml:space="preserve">Verdict on the CFD results: VALID. The derived quantity is ill-posed near zero driving temperature difference. No case is invalidated.</w:t>
      </w:r>
    </w:p>
    <w:p>
      <w:pPr>
        <w:pStyle w:val="Heading1"/>
        <w:keepNext/>
        <w:pageBreakBefore/>
        <w:spacing w:after="160" w:before="0"/>
      </w:pPr>
      <w:r>
        <w:t xml:space="preserve">4. Item 3 — constant thermal conductivity against temperature-dependent viscosity</w:t>
      </w:r>
    </w:p>
    <w:p>
      <w:pPr>
        <w:spacing w:after="120" w:before="0" w:line="276" w:lineRule="auto"/>
      </w:pPr>
      <w:r>
        <w:t xml:space="preserve">Classification: MAJOR, PROPERTY-MODEL INCONSISTENCY. This item adds a new term to the uncertainty budget.</w:t>
      </w:r>
    </w:p>
    <w:p>
      <w:pPr>
        <w:pStyle w:val="Heading2"/>
        <w:keepNext/>
        <w:spacing w:after="120" w:before="280"/>
      </w:pPr>
      <w:r>
        <w:t xml:space="preserve">4.1 The inconsistency</w:t>
      </w:r>
    </w:p>
    <w:p>
      <w:pPr>
        <w:spacing w:after="120" w:before="0" w:line="276" w:lineRule="auto"/>
      </w:pPr>
      <w:r>
        <w:t xml:space="preserve">Viscosity is carried as a function of temperature through the Vogel relation and varies by a factor of 2.84 across the campaign. Thermal conductivity is held fixed at 0.610 W/m·K. The two properties belong to the same fluid over the same temperature range, and treating one as variable and the other as constant is not defensible without a bound on the effect.</w:t>
      </w:r>
    </w:p>
    <w:p>
      <w:pPr>
        <w:keepNext/>
        <w:spacing w:after="60" w:before="120"/>
      </w:pPr>
      <w:r>
        <w:rPr>
          <w:i/>
          <w:iCs/>
          <w:color w:val="4A4D52"/>
          <w:sz w:val="17"/>
          <w:szCs w:val="17"/>
        </w:rPr>
        <w:t xml:space="preserve">Table 5 — The size of the inconsistency.</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433"/>
        <w:gridCol w:w="5205"/>
      </w:tblGrid>
      <w:tr>
        <w:trPr>
          <w:cantSplit/>
          <w:tblHeader/>
        </w:trPr>
        <w:tc>
          <w:tcPr>
            <w:tcW w:type="dxa" w:w="44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520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Mean fluid temperature across the campaign</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20.2 to 79.8 °C</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k(T) for liquid water over that range</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0.6021 to 0.6737 W/m·K</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Value used by the model</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0.610 W/m·K, fixed</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Resulting error in k</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−1.30 % to +10.44 % (mean +5.02 %)</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Rows where the error exceeds 5 %</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166 of 300</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Rows where the error exceeds 8 %</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46 of 300</w:t>
            </w:r>
          </w:p>
        </w:tc>
      </w:tr>
    </w:tbl>
    <w:p>
      <w:pPr>
        <w:pStyle w:val="Heading2"/>
        <w:keepNext/>
        <w:spacing w:after="120" w:before="280"/>
      </w:pPr>
      <w:r>
        <w:t xml:space="preserve">4.2 Bounding it without re-running the campaign</w:t>
      </w:r>
    </w:p>
    <w:p>
      <w:pPr>
        <w:spacing w:after="120" w:before="0" w:line="276" w:lineRule="auto"/>
      </w:pPr>
      <w:r>
        <w:t xml:space="preserve">The heat-transfer closure is</w:t>
      </w:r>
    </w:p>
    <w:p>
      <w:pPr>
        <w:spacing w:after="180" w:before="140" w:line="276" w:lineRule="auto"/>
        <w:jc w:val="center"/>
      </w:pPr>
      <w:r>
        <w:rPr>
          <w:b/>
          <w:bCs/>
          <w:sz w:val="22"/>
          <w:szCs w:val="22"/>
        </w:rPr>
        <w:t xml:space="preserve">h(x) = Nu × k / D_h(x)</w:t>
      </w:r>
    </w:p>
    <w:p>
      <w:pPr>
        <w:spacing w:after="120" w:before="0" w:line="276" w:lineRule="auto"/>
      </w:pPr>
      <w:r>
        <w:t xml:space="preserve">so an error in k is mathematically identical to the same percentage error in Nu. The study already contains a MEASURED sensitivity to Nu, obtained by running the entire campaign twice with nothing changed but that one input:</w:t>
      </w:r>
    </w:p>
    <w:p>
      <w:pPr>
        <w:keepNext/>
        <w:spacing w:after="60" w:before="120"/>
      </w:pPr>
      <w:r>
        <w:rPr>
          <w:i/>
          <w:iCs/>
          <w:color w:val="4A4D52"/>
          <w:sz w:val="17"/>
          <w:szCs w:val="17"/>
        </w:rPr>
        <w:t xml:space="preserve">Table 6 — The calibrated sensitivity, from the Rev 1 to Rev 2 recomputation.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433"/>
        <w:gridCol w:w="5205"/>
      </w:tblGrid>
      <w:tr>
        <w:trPr>
          <w:cantSplit/>
          <w:tblHeader/>
        </w:trPr>
        <w:tc>
          <w:tcPr>
            <w:tcW w:type="dxa" w:w="443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520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Value</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 changed from</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3.4282 to 2.9238  (−14.71 %)</w:t>
            </w:r>
          </w:p>
        </w:tc>
      </w:tr>
      <w:tr>
        <w:trPr>
          <w:cantSplit/>
          <w:tblHeader w:val="false"/>
        </w:trPr>
        <w:tc>
          <w:tcPr>
            <w:tcW w:type="dxa" w:w="443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Delta plate spread changed from</w:t>
            </w:r>
          </w:p>
        </w:tc>
        <w:tc>
          <w:tcPr>
            <w:tcW w:type="dxa" w:w="520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−12.010 % to −21.093 %  (−9.083 pp)</w:t>
            </w:r>
          </w:p>
        </w:tc>
      </w:tr>
      <w:tr>
        <w:trPr>
          <w:cantSplit/>
          <w:tblHeader w:val="false"/>
        </w:trPr>
        <w:tc>
          <w:tcPr>
            <w:tcW w:type="dxa" w:w="443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Local slope</w:t>
            </w:r>
          </w:p>
        </w:tc>
        <w:tc>
          <w:tcPr>
            <w:tcW w:type="dxa" w:w="520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0.6175 pp per 1 % change in Nu, and therefore in k</w:t>
            </w:r>
          </w:p>
        </w:tc>
      </w:tr>
    </w:tbl>
    <w:p>
      <w:pPr>
        <w:keepNext/>
        <w:spacing w:after="60" w:before="120"/>
      </w:pPr>
      <w:r>
        <w:rPr>
          <w:i/>
          <w:iCs/>
          <w:color w:val="4A4D52"/>
          <w:sz w:val="17"/>
          <w:szCs w:val="17"/>
        </w:rPr>
        <w:t xml:space="preserve">Table 7 — The k(T) term mapped onto the reported result.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277"/>
        <w:gridCol w:w="3277"/>
        <w:gridCol w:w="3084"/>
      </w:tblGrid>
      <w:tr>
        <w:trPr>
          <w:cantSplit/>
          <w:tblHeader/>
        </w:trPr>
        <w:tc>
          <w:tcPr>
            <w:tcW w:type="dxa" w:w="327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Error in k</w:t>
            </w:r>
          </w:p>
        </w:tc>
        <w:tc>
          <w:tcPr>
            <w:tcW w:type="dxa" w:w="327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Effect on Delta plate spread</w:t>
            </w:r>
          </w:p>
        </w:tc>
        <w:tc>
          <w:tcPr>
            <w:tcW w:type="dxa" w:w="3084"/>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Corrected value</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−1.30 % (coldest cases)</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−0.80 pp</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−21.89 %</w:t>
            </w:r>
          </w:p>
        </w:tc>
      </w:tr>
      <w:tr>
        <w:trPr>
          <w:cantSplit/>
          <w:tblHeader w:val="false"/>
        </w:trPr>
        <w:tc>
          <w:tcPr>
            <w:tcW w:type="dxa" w:w="327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+5.02 % (campaign mean)</w:t>
            </w:r>
          </w:p>
        </w:tc>
        <w:tc>
          <w:tcPr>
            <w:tcW w:type="dxa" w:w="32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+3.10 pp</w:t>
            </w:r>
          </w:p>
        </w:tc>
        <w:tc>
          <w:tcPr>
            <w:tcW w:type="dxa" w:w="3084"/>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−17.99 %</w:t>
            </w:r>
          </w:p>
        </w:tc>
      </w:tr>
      <w:tr>
        <w:trPr>
          <w:cantSplit/>
          <w:tblHeader w:val="false"/>
        </w:trPr>
        <w:tc>
          <w:tcPr>
            <w:tcW w:type="dxa" w:w="327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+10.44 % (hottest cases)</w:t>
            </w:r>
          </w:p>
        </w:tc>
        <w:tc>
          <w:tcPr>
            <w:tcW w:type="dxa" w:w="32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+6.44 pp</w:t>
            </w:r>
          </w:p>
        </w:tc>
        <w:tc>
          <w:tcPr>
            <w:tcW w:type="dxa" w:w="3084"/>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−14.65 %</w:t>
            </w:r>
          </w:p>
        </w:tc>
      </w:tr>
    </w:tbl>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this means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Using a fixed k understates the heat-transfer coefficient in the hotter cases, and by the calibrated slope this makes the reported uniformity benefit slightly MORE favourable than it should be.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At the campaign mean, correcting k would move Delta plate spread from −21.09 % to about −18.0 %. At the extreme it would reach −14.7 %.</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sign of the result does not change, and the benefit remains clearly negative under every value in the range.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This term is larger than the plate-grid discretisation term (2.98 pp) and comparable to the input-uncertainty term (4.98 pp), but smaller than the Nu(xi) model-form term (14.24 pp). It belongs in the uncertainty budget and is added there.</w:t>
            </w:r>
          </w:p>
        </w:tc>
      </w:tr>
    </w:tbl>
    <w:p>
      <w:pPr>
        <w:spacing w:after="120" w:before="140" w:line="276" w:lineRule="auto"/>
      </w:pPr>
      <w:r>
        <w:t xml:space="preserve">Note that c_p requires no such correction. Over the actual range of 293 to 353 K, the specific heat of liquid water deviates from 4180 J/kg·K by at most +0.29 %. The constant-c_p assumption is fully justified and is not flagged.</w:t>
      </w:r>
    </w:p>
    <w:p>
      <w:pPr>
        <w:spacing w:after="120" w:before="0" w:line="276" w:lineRule="auto"/>
      </w:pPr>
      <w:r>
        <w:t xml:space="preserve">Verdict on the CFD results: VALID, with a newly quantified uncertainty term. No result is invalidated. Required to close the item properly: re-run the campaign with k(T), which costs the same as the Rev 1 to Rev 2 recomputation.</w:t>
      </w:r>
    </w:p>
    <w:p>
      <w:pPr>
        <w:pStyle w:val="Heading1"/>
        <w:keepNext/>
        <w:pageBreakBefore/>
        <w:spacing w:after="160" w:before="0"/>
      </w:pPr>
      <w:r>
        <w:t xml:space="preserve">5. Items 4 and 5 — sign convention, and efficiencies above the optical limit</w:t>
      </w:r>
    </w:p>
    <w:p>
      <w:pPr>
        <w:spacing w:after="120" w:before="0" w:line="276" w:lineRule="auto"/>
      </w:pPr>
      <w:r>
        <w:t xml:space="preserve">Classification: NOMENCLATURE AND EXPLANATION. The physics is correct in both cases.</w:t>
      </w:r>
    </w:p>
    <w:p>
      <w:pPr>
        <w:pStyle w:val="Heading2"/>
        <w:keepNext/>
        <w:spacing w:after="120" w:before="280"/>
      </w:pPr>
      <w:r>
        <w:t xml:space="preserve">5.1 Item 4 — negative Q_rad, Q_conv and Q_rear</w:t>
      </w:r>
    </w:p>
    <w:p>
      <w:pPr>
        <w:spacing w:after="120" w:before="0" w:line="276" w:lineRule="auto"/>
      </w:pPr>
      <w:r>
        <w:t xml:space="preserve">These are not errors. Each one occurs when the relevant surface is COLDER than what it exchanges heat with, so the flux is directed into the collector. Newton's law of cooling and the Stefan-Boltzmann difference both change sign correctly; the solver is right and the word “loss” is what fails.</w:t>
      </w:r>
    </w:p>
    <w:p>
      <w:pPr>
        <w:keepNext/>
        <w:spacing w:after="60" w:before="120"/>
      </w:pPr>
      <w:r>
        <w:rPr>
          <w:i/>
          <w:iCs/>
          <w:color w:val="4A4D52"/>
          <w:sz w:val="17"/>
          <w:szCs w:val="17"/>
        </w:rPr>
        <w:t xml:space="preserve">Table 8 — Every negative value traced to its physical cause.</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313"/>
        <w:gridCol w:w="1735"/>
        <w:gridCol w:w="5590"/>
      </w:tblGrid>
      <w:tr>
        <w:trPr>
          <w:cantSplit/>
          <w:tblHeader/>
        </w:trPr>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Column</w:t>
            </w:r>
          </w:p>
        </w:tc>
        <w:tc>
          <w:tcPr>
            <w:tcW w:type="dxa" w:w="173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Negative rows</w:t>
            </w:r>
          </w:p>
        </w:tc>
        <w:tc>
          <w:tcPr>
            <w:tcW w:type="dxa" w:w="559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Verified cause</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Q_conv_W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 of 300</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 − T_amb = −8.54 to −2.83 K</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Q_rear_W</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16 of 300</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same rows, same cause</w:t>
            </w:r>
          </w:p>
        </w:tc>
      </w:tr>
      <w:tr>
        <w:trPr>
          <w:cantSplit/>
          <w:tblHeader w:val="false"/>
        </w:trPr>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Q_rad_W</w:t>
            </w:r>
          </w:p>
        </w:tc>
        <w:tc>
          <w:tcPr>
            <w:tcW w:type="dxa" w:w="173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11 of 300</w:t>
            </w:r>
          </w:p>
        </w:tc>
        <w:tc>
          <w:tcPr>
            <w:tcW w:type="dxa" w:w="559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 − T_glass = −5.21 to −0.81 K</w:t>
            </w:r>
          </w:p>
        </w:tc>
      </w:tr>
      <w:tr>
        <w:trPr>
          <w:cantSplit/>
          <w:tblHeader w:val="false"/>
        </w:trPr>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U_L_W_m2K</w:t>
            </w:r>
          </w:p>
        </w:tc>
        <w:tc>
          <w:tcPr>
            <w:tcW w:type="dxa" w:w="173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5 of 300</w:t>
            </w:r>
          </w:p>
        </w:tc>
        <w:tc>
          <w:tcPr>
            <w:tcW w:type="dxa" w:w="559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negative denominator, positive numerator (Section 3)</w:t>
            </w:r>
          </w:p>
        </w:tc>
      </w:tr>
    </w:tbl>
    <w:p>
      <w:pPr>
        <w:spacing w:after="120" w:before="0" w:line="276" w:lineRule="auto"/>
      </w:pPr>
      <w:r>
        <w:t xml:space="preserve">The identity of the radiative exchange was confirmed rather than assumed: the correlation between Q_rad and (T_plate − T_glass) across all 300 rows is +0.982, which establishes that the column is the absorber-to-glazing exchange and that its sign follows that temperature difference exactly as it must.</w:t>
      </w:r>
    </w:p>
    <w:p>
      <w:pPr>
        <w:spacing w:after="120" w:before="0" w:line="276" w:lineRule="auto"/>
      </w:pPr>
      <w:r>
        <w:t xml:space="preserve">What changes: the four columns are to be described as NET FLUXES with an explicit sign convention stated once and applied everywhere — positive out of the collector, negative into it. The word “loss” is reserved for cases where the flux is genuinely outward. No value is altered.</w:t>
      </w:r>
    </w:p>
    <w:p>
      <w:pPr>
        <w:pStyle w:val="Heading2"/>
        <w:keepNext/>
        <w:spacing w:after="120" w:before="280"/>
      </w:pPr>
      <w:r>
        <w:t xml:space="preserve">5.2 Item 5 — eleven cases with Q_u &gt; Q_solar</w:t>
      </w:r>
    </w:p>
    <w:p>
      <w:pPr>
        <w:spacing w:after="120" w:before="0" w:line="276" w:lineRule="auto"/>
      </w:pPr>
      <w:r>
        <w:t xml:space="preserve">The optical ceiling of this collector is tau_glz x tau_TIM x alpha = 0.833 x 0.82 x 0.95 = 0.6489. Eleven cases report an efficiency above it, reaching 0.6778, with Q_u/Q_solar up to 1.0445 and a loss sum of −4.45 % of absorbed power.</w:t>
      </w:r>
    </w:p>
    <w:p>
      <w:pPr>
        <w:spacing w:after="120" w:before="0" w:line="276" w:lineRule="auto"/>
      </w:pPr>
      <w:r>
        <w:t xml:space="preserve">They are the same eleven cases as the negative-flux rows in Section 5.1. In each one the inlet temperature is well below ambient at moderate irradiance, so the absorber runs colder than the surrounding air and the collector harvests ambient heat IN ADDITION to sunlight. The efficiency denominator counts only the solar term, so the ratio legitimately exceeds the optical limit.</w:t>
      </w:r>
    </w:p>
    <w:p>
      <w:pPr>
        <w:keepNext/>
        <w:spacing w:after="60" w:before="120"/>
      </w:pPr>
      <w:r>
        <w:rPr>
          <w:i/>
          <w:iCs/>
          <w:color w:val="4A4D52"/>
          <w:sz w:val="17"/>
          <w:szCs w:val="17"/>
        </w:rPr>
        <w:t xml:space="preserve">Table 9 — The eleven cases, with the conditions that produce them.</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1469"/>
        <w:gridCol w:w="1377"/>
        <w:gridCol w:w="1285"/>
        <w:gridCol w:w="1285"/>
        <w:gridCol w:w="1652"/>
        <w:gridCol w:w="1101"/>
        <w:gridCol w:w="1469"/>
      </w:tblGrid>
      <w:tr>
        <w:trPr>
          <w:cantSplit/>
          <w:tblHeader/>
        </w:trPr>
        <w:tc>
          <w:tcPr>
            <w:tcW w:type="dxa" w:w="146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Case</w:t>
            </w:r>
          </w:p>
        </w:tc>
        <w:tc>
          <w:tcPr>
            <w:tcW w:type="dxa" w:w="1377"/>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G_T (W/m²)</w:t>
            </w:r>
          </w:p>
        </w:tc>
        <w:tc>
          <w:tcPr>
            <w:tcW w:type="dxa" w:w="128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T_in (K)</w:t>
            </w:r>
          </w:p>
        </w:tc>
        <w:tc>
          <w:tcPr>
            <w:tcW w:type="dxa" w:w="1285"/>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T_amb (K)</w:t>
            </w:r>
          </w:p>
        </w:tc>
        <w:tc>
          <w:tcPr>
            <w:tcW w:type="dxa" w:w="1652"/>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T_plate,mean (K)</w:t>
            </w:r>
          </w:p>
        </w:tc>
        <w:tc>
          <w:tcPr>
            <w:tcW w:type="dxa" w:w="110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eta</w:t>
            </w:r>
          </w:p>
        </w:tc>
        <w:tc>
          <w:tcPr>
            <w:tcW w:type="dxa" w:w="146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Energy error</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ALT_025</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421.50</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298.66</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310.43</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306.94</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0.6549</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−0.0001 %</w:t>
            </w:r>
          </w:p>
        </w:tc>
      </w:tr>
      <w:tr>
        <w:trPr>
          <w:cantSplit/>
          <w:tblHeader w:val="false"/>
        </w:trPr>
        <w:tc>
          <w:tcPr>
            <w:tcW w:type="dxa" w:w="14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ALT_066</w:t>
            </w:r>
          </w:p>
        </w:tc>
        <w:tc>
          <w:tcPr>
            <w:tcW w:type="dxa" w:w="13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431.78</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290.62</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309.90</w:t>
            </w:r>
          </w:p>
        </w:tc>
        <w:tc>
          <w:tcPr>
            <w:tcW w:type="dxa" w:w="16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301.36</w:t>
            </w:r>
          </w:p>
        </w:tc>
        <w:tc>
          <w:tcPr>
            <w:tcW w:type="dxa" w:w="110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0.6778</w:t>
            </w:r>
          </w:p>
        </w:tc>
        <w:tc>
          <w:tcPr>
            <w:tcW w:type="dxa" w:w="146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−0.0001 %</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ALT_113</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546.39</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288.27</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303.99</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298.85</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0.6569</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−0.0001 %</w:t>
            </w:r>
          </w:p>
        </w:tc>
      </w:tr>
      <w:tr>
        <w:trPr>
          <w:cantSplit/>
          <w:tblHeader w:val="false"/>
        </w:trPr>
        <w:tc>
          <w:tcPr>
            <w:tcW w:type="dxa" w:w="14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ALT_128</w:t>
            </w:r>
          </w:p>
        </w:tc>
        <w:tc>
          <w:tcPr>
            <w:tcW w:type="dxa" w:w="13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702.23</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293.73</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312.01</w:t>
            </w:r>
          </w:p>
        </w:tc>
        <w:tc>
          <w:tcPr>
            <w:tcW w:type="dxa" w:w="16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307.96</w:t>
            </w:r>
          </w:p>
        </w:tc>
        <w:tc>
          <w:tcPr>
            <w:tcW w:type="dxa" w:w="110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0.6560</w:t>
            </w:r>
          </w:p>
        </w:tc>
        <w:tc>
          <w:tcPr>
            <w:tcW w:type="dxa" w:w="146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+0.0001 %</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ALT_135</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512.77</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289.06</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310.75</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303.68</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0.6695</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+0.0001 %</w:t>
            </w:r>
          </w:p>
        </w:tc>
      </w:tr>
      <w:tr>
        <w:trPr>
          <w:cantSplit/>
          <w:tblHeader w:val="false"/>
        </w:trPr>
        <w:tc>
          <w:tcPr>
            <w:tcW w:type="dxa" w:w="14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PAR_012</w:t>
            </w:r>
          </w:p>
        </w:tc>
        <w:tc>
          <w:tcPr>
            <w:tcW w:type="dxa" w:w="13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771.82</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291.94</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311.87</w:t>
            </w:r>
          </w:p>
        </w:tc>
        <w:tc>
          <w:tcPr>
            <w:tcW w:type="dxa" w:w="16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304.72</w:t>
            </w:r>
          </w:p>
        </w:tc>
        <w:tc>
          <w:tcPr>
            <w:tcW w:type="dxa" w:w="110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0.6618</w:t>
            </w:r>
          </w:p>
        </w:tc>
        <w:tc>
          <w:tcPr>
            <w:tcW w:type="dxa" w:w="146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PAR_083</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738.01</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289.37</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305.52</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300.28</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0.6586</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r>
        <w:trPr>
          <w:cantSplit/>
          <w:tblHeader w:val="false"/>
        </w:trPr>
        <w:tc>
          <w:tcPr>
            <w:tcW w:type="dxa" w:w="14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PAR_103</w:t>
            </w:r>
          </w:p>
        </w:tc>
        <w:tc>
          <w:tcPr>
            <w:tcW w:type="dxa" w:w="13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555.38</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291.77</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307.82</w:t>
            </w:r>
          </w:p>
        </w:tc>
        <w:tc>
          <w:tcPr>
            <w:tcW w:type="dxa" w:w="16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302.26</w:t>
            </w:r>
          </w:p>
        </w:tc>
        <w:tc>
          <w:tcPr>
            <w:tcW w:type="dxa" w:w="110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0.6621</w:t>
            </w:r>
          </w:p>
        </w:tc>
        <w:tc>
          <w:tcPr>
            <w:tcW w:type="dxa" w:w="146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PAR_120</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464.92</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292.33</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310.15</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303.73</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0.6627</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r>
        <w:trPr>
          <w:cantSplit/>
          <w:tblHeader w:val="false"/>
        </w:trPr>
        <w:tc>
          <w:tcPr>
            <w:tcW w:type="dxa" w:w="146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PAR_131</w:t>
            </w:r>
          </w:p>
        </w:tc>
        <w:tc>
          <w:tcPr>
            <w:tcW w:type="dxa" w:w="1377"/>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830.79</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293.23</w:t>
            </w:r>
          </w:p>
        </w:tc>
        <w:tc>
          <w:tcPr>
            <w:tcW w:type="dxa" w:w="1285"/>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308.94</w:t>
            </w:r>
          </w:p>
        </w:tc>
        <w:tc>
          <w:tcPr>
            <w:tcW w:type="dxa" w:w="1652"/>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306.11</w:t>
            </w:r>
          </w:p>
        </w:tc>
        <w:tc>
          <w:tcPr>
            <w:tcW w:type="dxa" w:w="110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0.6522</w:t>
            </w:r>
          </w:p>
        </w:tc>
        <w:tc>
          <w:tcPr>
            <w:tcW w:type="dxa" w:w="146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r>
        <w:trPr>
          <w:cantSplit/>
          <w:tblHeader w:val="false"/>
        </w:trPr>
        <w:tc>
          <w:tcPr>
            <w:tcW w:type="dxa" w:w="146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PAR_148</w:t>
            </w:r>
          </w:p>
        </w:tc>
        <w:tc>
          <w:tcPr>
            <w:tcW w:type="dxa" w:w="1377"/>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446.44</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297.62</w:t>
            </w:r>
          </w:p>
        </w:tc>
        <w:tc>
          <w:tcPr>
            <w:tcW w:type="dxa" w:w="1285"/>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311.30</w:t>
            </w:r>
          </w:p>
        </w:tc>
        <w:tc>
          <w:tcPr>
            <w:tcW w:type="dxa" w:w="1652"/>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306.40</w:t>
            </w:r>
          </w:p>
        </w:tc>
        <w:tc>
          <w:tcPr>
            <w:tcW w:type="dxa" w:w="110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0.6578</w:t>
            </w:r>
          </w:p>
        </w:tc>
        <w:tc>
          <w:tcPr>
            <w:tcW w:type="dxa" w:w="146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−0.0000 %</w:t>
            </w:r>
          </w:p>
        </w:tc>
      </w:tr>
    </w:tbl>
    <w:p>
      <w:pPr>
        <w:spacing w:after="120" w:before="0" w:line="276" w:lineRule="auto"/>
      </w:pPr>
      <w:r>
        <w:t xml:space="preserve">In every one of the eleven the plate is colder than ambient, and in every one the energy balance closes to within one ten-thousandth of a per cent. These are real operating states that a physical collector would also exhibit, not numerical artifacts.</w:t>
      </w:r>
    </w:p>
    <w:p>
      <w:pPr>
        <w:spacing w:after="120" w:before="0" w:line="276" w:lineRule="auto"/>
      </w:pPr>
      <w:r>
        <w:t xml:space="preserve">What changes: the definition of efficiency used here must be stated explicitly as solar-referenced, eta = Q_u/(G_T A), and a footnote must accompany any efficiency table explaining that solar-referenced efficiency can exceed the optical limit when the collector also draws heat from warmer surroundings. No case is removed or capped.</w:t>
      </w:r>
    </w:p>
    <w:p>
      <w:pPr>
        <w:pStyle w:val="Heading1"/>
        <w:keepNext/>
        <w:pageBreakBefore/>
        <w:spacing w:after="160" w:before="0"/>
      </w:pPr>
      <w:r>
        <w:t xml:space="preserve">6. Item 6 — lateral_bridge_W, and why bridge width barely matters</w:t>
      </w:r>
    </w:p>
    <w:p>
      <w:pPr>
        <w:spacing w:after="120" w:before="0" w:line="276" w:lineRule="auto"/>
      </w:pPr>
      <w:r>
        <w:t xml:space="preserve">Classification: THE ACCOUNTING IS CORRECT; THE INSENSITIVITY NEEDS EXPLANATION.</w:t>
      </w:r>
    </w:p>
    <w:p>
      <w:pPr>
        <w:pStyle w:val="Heading2"/>
        <w:keepNext/>
        <w:spacing w:after="120" w:before="280"/>
      </w:pPr>
      <w:r>
        <w:t xml:space="preserve">6.1 It is correctly excluded from the energy balance</w:t>
      </w:r>
    </w:p>
    <w:p>
      <w:pPr>
        <w:spacing w:after="120" w:before="0" w:line="276" w:lineRule="auto"/>
      </w:pPr>
      <w:r>
        <w:t xml:space="preserve">This was tested directly rather than assumed. The energy balance was recomputed twice, once as reported and once with lateral_bridge_W added as a fifth term:</w:t>
      </w:r>
    </w:p>
    <w:p>
      <w:pPr>
        <w:keepNext/>
        <w:spacing w:after="60" w:before="120"/>
      </w:pPr>
      <w:r>
        <w:rPr>
          <w:i/>
          <w:iCs/>
          <w:color w:val="4A4D52"/>
          <w:sz w:val="17"/>
          <w:szCs w:val="17"/>
        </w:rPr>
        <w:t xml:space="preserve">Table 10 — Direct test of how lateral_bridge_W enters the accounting.</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265"/>
        <w:gridCol w:w="3373"/>
      </w:tblGrid>
      <w:tr>
        <w:trPr>
          <w:cantSplit/>
          <w:tblHeader/>
        </w:trPr>
        <w:tc>
          <w:tcPr>
            <w:tcW w:type="dxa" w:w="626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Energy balance formulation</w:t>
            </w:r>
          </w:p>
        </w:tc>
        <w:tc>
          <w:tcPr>
            <w:tcW w:type="dxa" w:w="337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Maximum residual</w:t>
            </w:r>
          </w:p>
        </w:tc>
      </w:tr>
      <w:tr>
        <w:trPr>
          <w:cantSplit/>
          <w:tblHeader w:val="false"/>
        </w:trPr>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 − (Q_u + Q_rad + Q_conv + Q_rear)</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1.43e-04 W</w:t>
            </w:r>
          </w:p>
        </w:tc>
      </w:tr>
      <w:tr>
        <w:trPr>
          <w:cantSplit/>
          <w:tblHeader w:val="false"/>
        </w:trPr>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Q_solar − (Q_u + Q_rad + Q_conv + Q_rear + lateral_bridge)</w:t>
            </w:r>
          </w:p>
        </w:tc>
        <w:tc>
          <w:tcPr>
            <w:tcW w:type="dxa" w:w="337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290.2 W</w:t>
            </w:r>
          </w:p>
        </w:tc>
      </w:tr>
    </w:tbl>
    <w:p>
      <w:pPr>
        <w:spacing w:after="120" w:before="0" w:line="276" w:lineRule="auto"/>
      </w:pPr>
      <w:r>
        <w:t xml:space="preserve">Adding it destroys the balance, which proves it is NOT being counted as useful energy, as an external loss, or as an independent source or sink. It is an internal redistribution diagnostic — heat moving sideways from one channel's territory to its neighbour's, inside the control volume — and it is handled correctly.</w:t>
      </w:r>
    </w:p>
    <w:p>
      <w:pPr>
        <w:keepNext/>
        <w:spacing w:after="60" w:before="120"/>
      </w:pPr>
      <w:r>
        <w:rPr>
          <w:i/>
          <w:iCs/>
          <w:color w:val="4A4D52"/>
          <w:sz w:val="17"/>
          <w:szCs w:val="17"/>
        </w:rPr>
        <w:t xml:space="preserve">Table 11 — The two populations.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2313"/>
        <w:gridCol w:w="2313"/>
        <w:gridCol w:w="2121"/>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Arrangement</w:t>
            </w:r>
          </w:p>
        </w:tc>
        <w:tc>
          <w:tcPr>
            <w:tcW w:type="dxa" w:w="231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Minimum</w:t>
            </w:r>
          </w:p>
        </w:tc>
        <w:tc>
          <w:tcPr>
            <w:tcW w:type="dxa" w:w="231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Maximum</w:t>
            </w:r>
          </w:p>
        </w:tc>
        <w:tc>
          <w:tcPr>
            <w:tcW w:type="dxa" w:w="2121"/>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Mean</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Co-current</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6.46e-11 W</w:t>
            </w:r>
          </w:p>
        </w:tc>
        <w:tc>
          <w:tcPr>
            <w:tcW w:type="dxa" w:w="231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9.42e-11 W</w:t>
            </w:r>
          </w:p>
        </w:tc>
        <w:tc>
          <w:tcPr>
            <w:tcW w:type="dxa" w:w="2121"/>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7.77e-11 W</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Alternating</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59.46 W</w:t>
            </w:r>
          </w:p>
        </w:tc>
        <w:tc>
          <w:tcPr>
            <w:tcW w:type="dxa" w:w="231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290.21 W</w:t>
            </w:r>
          </w:p>
        </w:tc>
        <w:tc>
          <w:tcPr>
            <w:tcW w:type="dxa" w:w="2121"/>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157.14 W</w:t>
            </w:r>
          </w:p>
        </w:tc>
      </w:tr>
    </w:tbl>
    <w:p>
      <w:pPr>
        <w:spacing w:after="120" w:before="0" w:line="276" w:lineRule="auto"/>
      </w:pPr>
      <w:r>
        <w:t xml:space="preserve">The co-current values are round-off around the exact zero that y-periodicity requires: with every channel flowing the same way, the plate field is periodic in y and the temperature gradient at each bridge midline vanishes identically. The contrast must therefore always be quoted as an absolute figure and never as a ratio to zero.</w:t>
      </w:r>
    </w:p>
    <w:p>
      <w:pPr>
        <w:pStyle w:val="Heading2"/>
        <w:keepNext/>
        <w:spacing w:after="120" w:before="280"/>
      </w:pPr>
      <w:r>
        <w:t xml:space="preserve">6.2 Why bridge width has almost no effect</w:t>
      </w:r>
    </w:p>
    <w:p>
      <w:pPr>
        <w:spacing w:after="120" w:before="0" w:line="276" w:lineRule="auto"/>
      </w:pPr>
      <w:r>
        <w:t xml:space="preserve">A standardised regression of lateral_bridge_W on all eight sampled inputs, over the 150 alternating cases, gives R² = 0.972 and the following coefficients:</w:t>
      </w:r>
    </w:p>
    <w:p>
      <w:pPr>
        <w:keepNext/>
        <w:spacing w:after="60" w:before="120"/>
      </w:pPr>
      <w:r>
        <w:rPr>
          <w:i/>
          <w:iCs/>
          <w:color w:val="4A4D52"/>
          <w:sz w:val="17"/>
          <w:szCs w:val="17"/>
        </w:rPr>
        <w:t xml:space="preserve">Table 12 — Standardised regression coefficients for lateral bridge conduction.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19"/>
        <w:gridCol w:w="4819"/>
      </w:tblGrid>
      <w:tr>
        <w:trPr>
          <w:cantSplit/>
          <w:tblHeader/>
        </w:trPr>
        <w:tc>
          <w:tcPr>
            <w:tcW w:type="dxa" w:w="481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Input</w:t>
            </w:r>
          </w:p>
        </w:tc>
        <w:tc>
          <w:tcPr>
            <w:tcW w:type="dxa" w:w="4819"/>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Standardised coefficient</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G_T</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+0.792</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mdot_total</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−0.605</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T_in</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−0.197</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T_amb</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+0.144</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v_wind</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−0.032</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bridge_mm</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−0.008</w:t>
            </w:r>
          </w:p>
        </w:tc>
      </w:tr>
      <w:tr>
        <w:trPr>
          <w:cantSplit/>
          <w:tblHeader w:val="false"/>
        </w:trPr>
        <w:tc>
          <w:tcPr>
            <w:tcW w:type="dxa" w:w="481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g_ratio</w:t>
            </w:r>
          </w:p>
        </w:tc>
        <w:tc>
          <w:tcPr>
            <w:tcW w:type="dxa" w:w="4819"/>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+0.007</w:t>
            </w:r>
          </w:p>
        </w:tc>
      </w:tr>
      <w:tr>
        <w:trPr>
          <w:cantSplit/>
          <w:tblHeader w:val="false"/>
        </w:trPr>
        <w:tc>
          <w:tcPr>
            <w:tcW w:type="dxa" w:w="481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lambda_G</w:t>
            </w:r>
          </w:p>
        </w:tc>
        <w:tc>
          <w:tcPr>
            <w:tcW w:type="dxa" w:w="4819"/>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−0.004</w:t>
            </w:r>
          </w:p>
        </w:tc>
      </w:tr>
    </w:tbl>
    <w:p>
      <w:pPr>
        <w:spacing w:after="120" w:before="0" w:line="276" w:lineRule="auto"/>
      </w:pPr>
      <w:r>
        <w:t xml:space="preserve">Bridge width is swept from 20 to 37 mm — an 85 % change in the conduction path — and moves lateral conduction essentially not at all. This is unusual and it deserves an explanation rather than a footnote.</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The explanation, and how to verify it</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Hottel-Whillier-Bliss chain computed for this absorber gives a fin efficiency of 0.9995. With 2 mm of aluminium at 229 W/m·K spanning a 31.3 mm bridge against a loss coefficient near 2.5 W/m²K, the fin parameter m(W−D)/2 is very small and the bond land is already effectively isothermal across its width.</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When a conduction path is already near-isothermal, the heat crossing it is set by the temperature difference imposed at its ends, not by the width of the path. Widening the bridge adds area and length in nearly equal measure.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There is a second, geometric reason. The campaign defines w_ch = pitch − bridge, so widening the bridge simultaneously narrows the channel. The two effects act in opposite directions and partly cancel.</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Required verification before this is presented: either an explicit k A / L scaling argument showing the cancellation, or a controlled sweep of bridge width at FIXED channel width, which the current campaign design cannot provide.</w:t>
            </w:r>
          </w:p>
        </w:tc>
      </w:tr>
    </w:tbl>
    <w:p>
      <w:pPr>
        <w:spacing w:after="120" w:before="140" w:line="276" w:lineRule="auto"/>
      </w:pPr>
      <w:r>
        <w:t xml:space="preserve">Verdict: NOT DEMONSTRATED INVALID. The dataset value stands unchanged. What is required is the explanation above, supported by one of the two verifications.</w:t>
      </w:r>
    </w:p>
    <w:p>
      <w:pPr>
        <w:pStyle w:val="Heading1"/>
        <w:keepNext/>
        <w:pageBreakBefore/>
        <w:spacing w:after="160" w:before="0"/>
      </w:pPr>
      <w:r>
        <w:t xml:space="preserve">7. Items 7 and 8 — operating pressure, and convergence evidence</w:t>
      </w:r>
    </w:p>
    <w:p>
      <w:pPr>
        <w:pStyle w:val="Heading2"/>
        <w:keepNext/>
        <w:spacing w:after="120" w:before="280"/>
      </w:pPr>
      <w:r>
        <w:t xml:space="preserve">7.1 Item 7 — one case above the saturation temperature</w:t>
      </w:r>
    </w:p>
    <w:p>
      <w:pPr>
        <w:spacing w:after="120" w:before="0" w:line="276" w:lineRule="auto"/>
      </w:pPr>
      <w:r>
        <w:t xml:space="preserve">Classification: DOCUMENTATION. One case exceeds the 1 atm saturation temperature of water.</w:t>
      </w:r>
    </w:p>
    <w:p>
      <w:pPr>
        <w:keepNext/>
        <w:spacing w:after="60" w:before="120"/>
      </w:pPr>
      <w:r>
        <w:rPr>
          <w:i/>
          <w:iCs/>
          <w:color w:val="4A4D52"/>
          <w:sz w:val="17"/>
          <w:szCs w:val="17"/>
        </w:rPr>
        <w:t xml:space="preserve">Table 13 — Cases approaching and exceeding saturation.</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6265"/>
        <w:gridCol w:w="3373"/>
      </w:tblGrid>
      <w:tr>
        <w:trPr>
          <w:cantSplit/>
          <w:tblHeader/>
        </w:trPr>
        <w:tc>
          <w:tcPr>
            <w:tcW w:type="dxa" w:w="6265"/>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Condition</w:t>
            </w:r>
          </w:p>
        </w:tc>
        <w:tc>
          <w:tcPr>
            <w:tcW w:type="dxa" w:w="3373"/>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Rows</w:t>
            </w:r>
          </w:p>
        </w:tc>
      </w:tr>
      <w:tr>
        <w:trPr>
          <w:cantSplit/>
          <w:tblHeader w:val="false"/>
        </w:trPr>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T_out &gt; 353 K (80 °C)</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23</w:t>
            </w:r>
          </w:p>
        </w:tc>
      </w:tr>
      <w:tr>
        <w:trPr>
          <w:cantSplit/>
          <w:tblHeader w:val="false"/>
        </w:trPr>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T_out &gt; 363 K (90 °C)</w:t>
            </w:r>
          </w:p>
        </w:tc>
        <w:tc>
          <w:tcPr>
            <w:tcW w:type="dxa" w:w="337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5</w:t>
            </w:r>
          </w:p>
        </w:tc>
      </w:tr>
      <w:tr>
        <w:trPr>
          <w:cantSplit/>
          <w:tblHeader w:val="false"/>
        </w:trPr>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T_out &gt; 368 K</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2</w:t>
            </w:r>
          </w:p>
        </w:tc>
      </w:tr>
      <w:tr>
        <w:trPr>
          <w:cantSplit/>
          <w:tblHeader w:val="false"/>
        </w:trPr>
        <w:tc>
          <w:tcPr>
            <w:tcW w:type="dxa" w:w="6265"/>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T_out &gt; 373.15 K (T_sat at 1 atm)</w:t>
            </w:r>
          </w:p>
        </w:tc>
        <w:tc>
          <w:tcPr>
            <w:tcW w:type="dxa" w:w="3373"/>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1 — case PAR_134, T_out = 373.21 K</w:t>
            </w:r>
          </w:p>
        </w:tc>
      </w:tr>
      <w:tr>
        <w:trPr>
          <w:cantSplit/>
          <w:tblHeader w:val="false"/>
        </w:trPr>
        <w:tc>
          <w:tcPr>
            <w:tcW w:type="dxa" w:w="6265"/>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T_plate,max &gt; 373.15 K</w:t>
            </w:r>
          </w:p>
        </w:tc>
        <w:tc>
          <w:tcPr>
            <w:tcW w:type="dxa" w:w="3373"/>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10 (peak 400.98 K)</w:t>
            </w:r>
          </w:p>
        </w:tc>
      </w:tr>
    </w:tbl>
    <w:p>
      <w:pPr>
        <w:spacing w:after="120" w:before="0" w:line="276" w:lineRule="auto"/>
      </w:pPr>
      <w:r>
        <w:t xml:space="preserve">The solver carries single-phase liquid properties with no phase-change model. The result is valid if and only if the hydraulic loop is pressurised above the corresponding saturation pressure. At 2 bar absolute, T_sat is about 393 K and every case in the dataset, including PAR_134 and all ten high plate temperatures, sits comfortably inside the single-phase envelope.</w:t>
      </w:r>
    </w:p>
    <w:p>
      <w:pPr>
        <w:spacing w:after="120" w:before="0" w:line="276" w:lineRule="auto"/>
      </w:pPr>
      <w:r>
        <w:t xml:space="preserve">What changes: the operating pressure of the collector loop must be stated explicitly in the methodology, together with the resulting saturation temperature and the statement that all 300 cases lie within the single-phase envelope at that pressure. If the design is an unpressurised 1 atm loop, PAR_134 must be flagged in place as outside the model's validity envelope. It is NOT to be deleted under either reading.</w:t>
      </w:r>
    </w:p>
    <w:p>
      <w:pPr>
        <w:pStyle w:val="Heading2"/>
        <w:keepNext/>
        <w:spacing w:after="120" w:before="280"/>
      </w:pPr>
      <w:r>
        <w:t xml:space="preserve">7.2 Item 8 — convergence evidence is a single scalar</w:t>
      </w:r>
    </w:p>
    <w:p>
      <w:pPr>
        <w:spacing w:after="120" w:before="0" w:line="276" w:lineRule="auto"/>
      </w:pPr>
      <w:r>
        <w:t xml:space="preserve">Classification: DOCUMENTATION. The evidence is sufficient for the conclusions drawn, but it is thinner than a strong CFD publication expects.</w:t>
      </w:r>
    </w:p>
    <w:p>
      <w:pPr>
        <w:keepNext/>
        <w:spacing w:after="60" w:before="120"/>
      </w:pPr>
      <w:r>
        <w:rPr>
          <w:i/>
          <w:iCs/>
          <w:color w:val="4A4D52"/>
          <w:sz w:val="17"/>
          <w:szCs w:val="17"/>
        </w:rPr>
        <w:t xml:space="preserve">Table 14 — Convergence information the dataset carries.</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891"/>
        <w:gridCol w:w="6747"/>
      </w:tblGrid>
      <w:tr>
        <w:trPr>
          <w:cantSplit/>
          <w:tblHeader/>
        </w:trPr>
        <w:tc>
          <w:tcPr>
            <w:tcW w:type="dxa" w:w="2891"/>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Field</w:t>
            </w:r>
          </w:p>
        </w:tc>
        <w:tc>
          <w:tcPr>
            <w:tcW w:type="dxa" w:w="6747"/>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Content</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residual</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one scalar per case, 7.59e-07 to 1.00e-06</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outer_iters</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73 to 849; the 900 cap is never reached</w:t>
            </w:r>
          </w:p>
        </w:tc>
      </w:tr>
      <w:tr>
        <w:trPr>
          <w:cantSplit/>
          <w:tblHeader w:val="false"/>
        </w:trPr>
        <w:tc>
          <w:tcPr>
            <w:tcW w:type="dxa" w:w="2891"/>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converged</w:t>
            </w:r>
          </w:p>
        </w:tc>
        <w:tc>
          <w:tcPr>
            <w:tcW w:type="dxa" w:w="6747"/>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True on all 300 rows</w:t>
            </w:r>
          </w:p>
        </w:tc>
      </w:tr>
      <w:tr>
        <w:trPr>
          <w:cantSplit/>
          <w:tblHeader w:val="false"/>
        </w:trPr>
        <w:tc>
          <w:tcPr>
            <w:tcW w:type="dxa" w:w="2891"/>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energy_error_pct</w:t>
            </w:r>
          </w:p>
        </w:tc>
        <w:tc>
          <w:tcPr>
            <w:tcW w:type="dxa" w:w="6747"/>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maximum magnitude 9.83e-05 %</w:t>
            </w:r>
          </w:p>
        </w:tc>
      </w:tr>
    </w:tbl>
    <w:p>
      <w:pPr>
        <w:spacing w:after="120" w:before="0" w:line="276" w:lineRule="auto"/>
      </w:pPr>
      <w:r>
        <w:t xml:space="preserve">Fifty-one rows sit at the 1e-06 tolerance boundary, meaning they converged to the tolerance rather than well past it. A single outer-loop residual does not demonstrate that continuity, momentum and energy have each converged, and for a publication the per-equation residual histories and at least one monitored engineering quantity should be shown.</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What the dataset does have, which is stronger</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An INDEPENDENT energy balance that closes to 9.83e-05 % on every one of the 300 cases.</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A residual is a statement about the linear solver. An energy balance is a statement about the physics, computed from quantities the solver did not iterate on. It is the better evidence, and it is what justifies treating these cases as converged.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Recommended addition for publication: per-equation residual histories and a monitored quantity trace for a representative subset, alongside the balance already reported.</w:t>
            </w:r>
          </w:p>
        </w:tc>
      </w:tr>
    </w:tbl>
    <w:p>
      <w:pPr>
        <w:pStyle w:val="Heading1"/>
        <w:keepNext/>
        <w:pageBreakBefore/>
        <w:spacing w:after="160" w:before="0"/>
      </w:pPr>
      <w:r>
        <w:t xml:space="preserve">8. Summary and final classification</w:t>
      </w:r>
    </w:p>
    <w:p>
      <w:pPr>
        <w:keepNext/>
        <w:spacing w:after="60" w:before="120"/>
      </w:pPr>
      <w:r>
        <w:rPr>
          <w:i/>
          <w:iCs/>
          <w:color w:val="4A4D52"/>
          <w:sz w:val="17"/>
          <w:szCs w:val="17"/>
        </w:rPr>
        <w:t xml:space="preserve">Table 15 — All eight items, classified.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482"/>
        <w:gridCol w:w="4144"/>
        <w:gridCol w:w="2410"/>
        <w:gridCol w:w="2602"/>
      </w:tblGrid>
      <w:tr>
        <w:trPr>
          <w:cantSplit/>
          <w:tblHeader/>
        </w:trPr>
        <w:tc>
          <w:tcPr>
            <w:tcW w:type="dxa" w:w="48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w:t>
            </w:r>
          </w:p>
        </w:tc>
        <w:tc>
          <w:tcPr>
            <w:tcW w:type="dxa" w:w="4144"/>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Item</w:t>
            </w:r>
          </w:p>
        </w:tc>
        <w:tc>
          <w:tcPr>
            <w:tcW w:type="dxa" w:w="241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Class</w:t>
            </w:r>
          </w:p>
        </w:tc>
        <w:tc>
          <w:tcPr>
            <w:tcW w:type="dxa" w:w="2602"/>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Result invalidated?</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w:t>
            </w:r>
          </w:p>
        </w:tc>
        <w:tc>
          <w:tcPr>
            <w:tcW w:type="dxa" w:w="414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nu_cfd is a fixed closure, not a per-case CFD value</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Major methodological</w:t>
            </w:r>
          </w:p>
        </w:tc>
        <w:tc>
          <w:tcPr>
            <w:tcW w:type="dxa" w:w="26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model-form limited</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w:t>
            </w:r>
          </w:p>
        </w:tc>
        <w:tc>
          <w:tcPr>
            <w:tcW w:type="dxa" w:w="414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U_L ill-conditioned in 20 of 300 cases</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Major, affects a statistic</w:t>
            </w:r>
          </w:p>
        </w:tc>
        <w:tc>
          <w:tcPr>
            <w:tcW w:type="dxa" w:w="26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 statistic restated</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3</w:t>
            </w:r>
          </w:p>
        </w:tc>
        <w:tc>
          <w:tcPr>
            <w:tcW w:type="dxa" w:w="414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Constant k with temperature-dependent mu</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Major, property model</w:t>
            </w:r>
          </w:p>
        </w:tc>
        <w:tc>
          <w:tcPr>
            <w:tcW w:type="dxa" w:w="26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new uncertainty term</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4</w:t>
            </w:r>
          </w:p>
        </w:tc>
        <w:tc>
          <w:tcPr>
            <w:tcW w:type="dxa" w:w="414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Negative Q_rad, Q_conv, Q_rear</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Nomenclature</w:t>
            </w:r>
          </w:p>
        </w:tc>
        <w:tc>
          <w:tcPr>
            <w:tcW w:type="dxa" w:w="26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 physics correct</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5</w:t>
            </w:r>
          </w:p>
        </w:tc>
        <w:tc>
          <w:tcPr>
            <w:tcW w:type="dxa" w:w="414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Eleven cases with eta above the optical limit</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Explanation required</w:t>
            </w:r>
          </w:p>
        </w:tc>
        <w:tc>
          <w:tcPr>
            <w:tcW w:type="dxa" w:w="26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physics correct</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6</w:t>
            </w:r>
          </w:p>
        </w:tc>
        <w:tc>
          <w:tcPr>
            <w:tcW w:type="dxa" w:w="414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Bridge width does not affect bridge conduction</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Unusual, needs explanation</w:t>
            </w:r>
          </w:p>
        </w:tc>
        <w:tc>
          <w:tcPr>
            <w:tcW w:type="dxa" w:w="26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 not shown invalid</w:t>
            </w:r>
          </w:p>
        </w:tc>
      </w:tr>
      <w:tr>
        <w:trPr>
          <w:cantSplit/>
          <w:tblHeader w:val="false"/>
        </w:trPr>
        <w:tc>
          <w:tcPr>
            <w:tcW w:type="dxa" w:w="48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7</w:t>
            </w:r>
          </w:p>
        </w:tc>
        <w:tc>
          <w:tcPr>
            <w:tcW w:type="dxa" w:w="4144"/>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One case above 1 atm saturation temperature</w:t>
            </w:r>
          </w:p>
        </w:tc>
        <w:tc>
          <w:tcPr>
            <w:tcW w:type="dxa" w:w="241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Documentation</w:t>
            </w:r>
          </w:p>
        </w:tc>
        <w:tc>
          <w:tcPr>
            <w:tcW w:type="dxa" w:w="2602"/>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 state the pressure</w:t>
            </w:r>
          </w:p>
        </w:tc>
      </w:tr>
      <w:tr>
        <w:trPr>
          <w:cantSplit/>
          <w:tblHeader w:val="false"/>
        </w:trPr>
        <w:tc>
          <w:tcPr>
            <w:tcW w:type="dxa" w:w="48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8</w:t>
            </w:r>
          </w:p>
        </w:tc>
        <w:tc>
          <w:tcPr>
            <w:tcW w:type="dxa" w:w="4144"/>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Single-scalar convergence evidence</w:t>
            </w:r>
          </w:p>
        </w:tc>
        <w:tc>
          <w:tcPr>
            <w:tcW w:type="dxa" w:w="241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Documentation</w:t>
            </w:r>
          </w:p>
        </w:tc>
        <w:tc>
          <w:tcPr>
            <w:tcW w:type="dxa" w:w="2602"/>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 — balance is stronger</w:t>
            </w:r>
          </w:p>
        </w:tc>
      </w:tr>
    </w:tbl>
    <w:p>
      <w:pPr>
        <w:pStyle w:val="Heading2"/>
        <w:keepNext/>
        <w:spacing w:after="120" w:before="280"/>
      </w:pPr>
      <w:r>
        <w:t xml:space="preserve">8.1 The separation that matters</w:t>
      </w:r>
    </w:p>
    <w:p>
      <w:pPr>
        <w:pStyle w:val="ListParagraph"/>
        <w:numPr>
          <w:ilvl w:val="0"/>
          <w:numId w:val="3"/>
        </w:numPr>
        <w:spacing w:after="80" w:before="0" w:line="276" w:lineRule="auto"/>
      </w:pPr>
      <w:r>
        <w:t xml:space="preserve">ACTUAL ERRORS: none. Not one value in the 300 x 54 table is mathematically, dimensionally or physically wrong. No conservation law is violated. No derived relation fails.</w:t>
      </w:r>
    </w:p>
    <w:p>
      <w:pPr>
        <w:pStyle w:val="ListParagraph"/>
        <w:numPr>
          <w:ilvl w:val="0"/>
          <w:numId w:val="3"/>
        </w:numPr>
        <w:spacing w:after="80" w:before="0" w:line="276" w:lineRule="auto"/>
      </w:pPr>
      <w:r>
        <w:t xml:space="preserve">UNUSUAL BUT VALID PHYSICS: items 4, 5 and 6 — the inward heat fluxes, the above-optical efficiencies, and the bridge-width insensitivity. All three remain in the dataset unchanged and require explanation, not correction.</w:t>
      </w:r>
    </w:p>
    <w:p>
      <w:pPr>
        <w:pStyle w:val="ListParagraph"/>
        <w:numPr>
          <w:ilvl w:val="0"/>
          <w:numId w:val="3"/>
        </w:numPr>
        <w:spacing w:after="80" w:before="0" w:line="276" w:lineRule="auto"/>
      </w:pPr>
      <w:r>
        <w:t xml:space="preserve">REPORTING AND DOCUMENTATION: items 1, 4, 5, 7 and 8. These change how results are described, not what they are.</w:t>
      </w:r>
    </w:p>
    <w:p>
      <w:pPr>
        <w:pStyle w:val="ListParagraph"/>
        <w:numPr>
          <w:ilvl w:val="0"/>
          <w:numId w:val="3"/>
        </w:numPr>
        <w:spacing w:after="80" w:before="0" w:line="276" w:lineRule="auto"/>
      </w:pPr>
      <w:r>
        <w:t xml:space="preserve">NUMERICAL CONSEQUENCE: items 2 and 3 are the only two that change a reported number. Item 2 restates Delta U_L as −1.95 ± 2.52 % on the conditioned subset, a nine-fold tightening. Item 3 adds a k(T) term that would move Delta plate spread from −21.09 % to about −18.0 %.</w:t>
      </w:r>
    </w:p>
    <w:p>
      <w:pPr>
        <w:pStyle w:val="Heading2"/>
        <w:keepNext/>
        <w:spacing w:after="120" w:before="280"/>
      </w:pPr>
      <w:r>
        <w:t xml:space="preserve">8.2 The headline results after the audit</w:t>
      </w:r>
    </w:p>
    <w:p>
      <w:pPr>
        <w:keepNext/>
        <w:spacing w:after="60" w:before="120"/>
      </w:pPr>
      <w:r>
        <w:rPr>
          <w:i/>
          <w:iCs/>
          <w:color w:val="4A4D52"/>
          <w:sz w:val="17"/>
          <w:szCs w:val="17"/>
        </w:rPr>
        <w:t xml:space="preserve">Table 16 — Reported results, with every audit correction applied.</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2699"/>
        <w:gridCol w:w="2313"/>
        <w:gridCol w:w="2506"/>
        <w:gridCol w:w="2120"/>
      </w:tblGrid>
      <w:tr>
        <w:trPr>
          <w:cantSplit/>
          <w:tblHeader/>
        </w:trPr>
        <w:tc>
          <w:tcPr>
            <w:tcW w:type="dxa" w:w="2699"/>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Quantity</w:t>
            </w:r>
          </w:p>
        </w:tc>
        <w:tc>
          <w:tcPr>
            <w:tcW w:type="dxa" w:w="2313"/>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As reported</w:t>
            </w:r>
          </w:p>
        </w:tc>
        <w:tc>
          <w:tcPr>
            <w:tcW w:type="dxa" w:w="2506"/>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After audit</w:t>
            </w:r>
          </w:p>
        </w:tc>
        <w:tc>
          <w:tcPr>
            <w:tcW w:type="dxa" w:w="212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Verdict</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Delta efficiency</w:t>
            </w:r>
          </w:p>
        </w:tc>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−4.94 ± 0.81 %</w:t>
            </w:r>
          </w:p>
        </w:tc>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unchanged</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FIRM — a deficit</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Delta plate spread (RMS)</w:t>
            </w:r>
          </w:p>
        </w:tc>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−21.09 ± 11.61 %</w:t>
            </w:r>
          </w:p>
        </w:tc>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about −18.0 % with k(T)</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REAL, model-form limited</w:t>
            </w:r>
          </w:p>
        </w:tc>
      </w:tr>
      <w:tr>
        <w:trPr>
          <w:cantSplit/>
          <w:tblHeader w:val="false"/>
        </w:trPr>
        <w:tc>
          <w:tcPr>
            <w:tcW w:type="dxa" w:w="2699"/>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Delta loss coefficient</w:t>
            </w:r>
          </w:p>
        </w:tc>
        <w:tc>
          <w:tcPr>
            <w:tcW w:type="dxa" w:w="2313"/>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−0.90 ± 22.93 %</w:t>
            </w:r>
          </w:p>
        </w:tc>
        <w:tc>
          <w:tcPr>
            <w:tcW w:type="dxa" w:w="2506"/>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−1.95 ± 2.52 %</w:t>
            </w:r>
          </w:p>
        </w:tc>
        <w:tc>
          <w:tcPr>
            <w:tcW w:type="dxa" w:w="212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NOT distinguishable, now sharply so</w:t>
            </w:r>
          </w:p>
        </w:tc>
      </w:tr>
      <w:tr>
        <w:trPr>
          <w:cantSplit/>
          <w:tblHeader w:val="false"/>
        </w:trPr>
        <w:tc>
          <w:tcPr>
            <w:tcW w:type="dxa" w:w="2699"/>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Delta peak-to-peak spread</w:t>
            </w:r>
          </w:p>
        </w:tc>
        <w:tc>
          <w:tcPr>
            <w:tcW w:type="dxa" w:w="2313"/>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−3.64 ± 15.82 %</w:t>
            </w:r>
          </w:p>
        </w:tc>
        <w:tc>
          <w:tcPr>
            <w:tcW w:type="dxa" w:w="2506"/>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unchanged</w:t>
            </w:r>
          </w:p>
        </w:tc>
        <w:tc>
          <w:tcPr>
            <w:tcW w:type="dxa" w:w="212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NOT distinguishable — do not claim</w:t>
            </w:r>
          </w:p>
        </w:tc>
      </w:tr>
    </w:tbl>
    <w:p>
      <w:pPr>
        <w:spacing w:after="120"/>
      </w:pPr>
    </w:p>
    <w:p>
      <w:pPr>
        <w:spacing w:after="120" w:before="0" w:line="276" w:lineRule="auto"/>
      </w:pPr>
      <w:r>
        <w:rPr>
          <w:b/>
          <w:bCs/>
          <w:color w:val="B03A2E"/>
        </w:rPr>
        <w:t xml:space="preserve">NOTE (Rev 4): the bottom line below is the Rev 2 audit verdict and is kept unchanged. Its statements on the uniformity benefit and the efficiency deficit are SUPERSEDED by Section 9.</w:t>
      </w:r>
    </w:p>
    <w:tbl>
      <w:tblPr>
        <w:tblW w:type="dxa" w:w="9638"/>
        <w:tblBorders>
          <w:top w:val="single" w:color="C0522D" w:sz="6"/>
          <w:left w:val="single" w:color="C0522D" w:sz="6"/>
          <w:bottom w:val="single" w:color="C0522D" w:sz="6"/>
          <w:right w:val="single" w:color="C0522D" w:sz="6"/>
          <w:insideH w:val="none" w:color="auto" w:sz="0"/>
          <w:insideV w:val="none" w:color="auto" w:sz="0"/>
        </w:tblBorders>
      </w:tblPr>
      <w:tblGrid>
        <w:gridCol w:w="9638"/>
      </w:tblGrid>
      <w:tr>
        <w:tc>
          <w:tcPr>
            <w:tcW w:type="dxa" w:w="9638"/>
            <w:shd w:fill="FDF2E9" w:color="auto" w:val="clear"/>
            <w:tcMar>
              <w:top w:type="dxa" w:w="90"/>
              <w:left w:type="dxa" w:w="140"/>
              <w:bottom w:type="dxa" w:w="90"/>
              <w:right w:type="dxa" w:w="140"/>
            </w:tcMar>
          </w:tcPr>
          <w:p>
            <w:pPr>
              <w:spacing w:after="0" w:before="0" w:line="264" w:lineRule="auto"/>
            </w:pPr>
            <w:r>
              <w:rPr>
                <w:b/>
                <w:bCs/>
                <w:color w:val="1F2124"/>
                <w:sz w:val="19"/>
                <w:szCs w:val="19"/>
              </w:rPr>
              <w:t xml:space="preserve">Bottom line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The audit did not find a single engineering error in the dataset, and it did not invalidate a single case.</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It found three quantities described in misleading ways, two statistics needing restatement, and one property assumption needing a bound.</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None of the eight items changes the direction of any conclusion. The efficiency deficit stands, the uniformity benefit stands with a slightly smaller magnitude and an explicit model-form qualifier, and the peak-to-peak claim stays withdrawn.</w:t>
            </w:r>
          </w:p>
        </w:tc>
      </w:tr>
      <w:tr>
        <w:tc>
          <w:tcPr>
            <w:tcW w:type="dxa" w:w="9638"/>
            <w:shd w:fill="FFFBF7" w:color="auto" w:val="clear"/>
            <w:tcMar>
              <w:top w:type="dxa" w:w="90"/>
              <w:left w:type="dxa" w:w="140"/>
              <w:bottom w:type="dxa" w:w="90"/>
              <w:right w:type="dxa" w:w="140"/>
            </w:tcMar>
          </w:tcPr>
          <w:p>
            <w:pPr>
              <w:spacing w:after="0" w:before="0" w:line="264" w:lineRule="auto"/>
            </w:pPr>
            <w:r>
              <w:rPr>
                <w:b w:val="false"/>
                <w:bCs w:val="false"/>
                <w:color w:val="1F2124"/>
                <w:sz w:val="19"/>
                <w:szCs w:val="19"/>
              </w:rPr>
              <w:t xml:space="preserve">No data was modified, corrected, smoothed, deleted or replaced at any point in this audit.</w:t>
            </w:r>
          </w:p>
        </w:tc>
      </w:tr>
    </w:tbl>
    <w:p>
      <w:pPr>
        <w:pStyle w:val="Heading1"/>
        <w:keepNext/>
        <w:pageBreakBefore/>
        <w:spacing w:after="160" w:before="0"/>
      </w:pPr>
      <w:r>
        <w:t xml:space="preserve">9. Rev 4 update — what this audit's verdict becomes</w:t>
      </w:r>
    </w:p>
    <w:p>
      <w:pPr>
        <w:spacing w:after="120" w:before="0" w:line="276" w:lineRule="auto"/>
      </w:pPr>
      <w:r>
        <w:t xml:space="preserve">This audit verified that Rev 2 is algebraically self-consistent, and that finding stands. What changed afterwards is the physics INPUT the dataset was computed with, which an internal audit cannot detect.</w:t>
      </w:r>
    </w:p>
    <w:tbl>
      <w:tblPr>
        <w:tblW w:type="dxa" w:w="9638"/>
        <w:tblBorders>
          <w:top w:val="single" w:color="C9CCD1" w:sz="4"/>
          <w:left w:val="single" w:color="C9CCD1" w:sz="4"/>
          <w:bottom w:val="single" w:color="C9CCD1" w:sz="4"/>
          <w:right w:val="single" w:color="C9CCD1" w:sz="4"/>
          <w:insideH w:val="single" w:color="C9CCD1" w:sz="2"/>
          <w:insideV w:val="single" w:color="C9CCD1" w:sz="2"/>
        </w:tblBorders>
      </w:tblPr>
      <w:tblGrid>
        <w:gridCol w:w="3470"/>
        <w:gridCol w:w="2120"/>
        <w:gridCol w:w="4048"/>
      </w:tblGrid>
      <w:tr>
        <w:trPr>
          <w:cantSplit/>
          <w:tblHeader/>
        </w:trPr>
        <w:tc>
          <w:tcPr>
            <w:tcW w:type="dxa" w:w="3470"/>
            <w:shd w:fill="EEF2F7" w:color="auto" w:val="clear"/>
            <w:tcMar>
              <w:top w:type="dxa" w:w="60"/>
              <w:left w:type="dxa" w:w="90"/>
              <w:bottom w:type="dxa" w:w="60"/>
              <w:right w:type="dxa" w:w="90"/>
            </w:tcMar>
          </w:tcPr>
          <w:p>
            <w:pPr>
              <w:spacing w:after="0" w:before="0" w:line="240" w:lineRule="auto"/>
              <w:jc w:val="left"/>
            </w:pPr>
            <w:r>
              <w:rPr>
                <w:b/>
                <w:bCs/>
                <w:color w:val="1F2124"/>
                <w:sz w:val="19"/>
                <w:szCs w:val="19"/>
              </w:rPr>
              <w:t xml:space="preserve">Audit statement</w:t>
            </w:r>
          </w:p>
        </w:tc>
        <w:tc>
          <w:tcPr>
            <w:tcW w:type="dxa" w:w="2120"/>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Status after Rev 4</w:t>
            </w:r>
          </w:p>
        </w:tc>
        <w:tc>
          <w:tcPr>
            <w:tcW w:type="dxa" w:w="4048"/>
            <w:shd w:fill="EEF2F7" w:color="auto" w:val="clear"/>
            <w:tcMar>
              <w:top w:type="dxa" w:w="60"/>
              <w:left w:type="dxa" w:w="90"/>
              <w:bottom w:type="dxa" w:w="60"/>
              <w:right w:type="dxa" w:w="90"/>
            </w:tcMar>
          </w:tcPr>
          <w:p>
            <w:pPr>
              <w:spacing w:after="0" w:before="0" w:line="240" w:lineRule="auto"/>
              <w:jc w:val="right"/>
            </w:pPr>
            <w:r>
              <w:rPr>
                <w:b/>
                <w:bCs/>
                <w:color w:val="1F2124"/>
                <w:sz w:val="19"/>
                <w:szCs w:val="19"/>
              </w:rPr>
              <w:t xml:space="preserve">Reason</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No engineering error in the dataset algebra</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STANDS</w:t>
            </w:r>
          </w:p>
        </w:tc>
        <w:tc>
          <w:tcPr>
            <w:tcW w:type="dxa" w:w="4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Rev 4 closes to |energy error| &lt; 1.5e-4 %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Nu = 2.9238 on every row (a valid closure)</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SUPERSEDED</w:t>
            </w:r>
          </w:p>
        </w:tc>
        <w:tc>
          <w:tcPr>
            <w:tcW w:type="dxa" w:w="4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H2-type; 3-D conjugate Nu 4.48</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Efficiency deficit stands</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STANDS, LARGER</w:t>
            </w:r>
          </w:p>
        </w:tc>
        <w:tc>
          <w:tcPr>
            <w:tcW w:type="dxa" w:w="4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Group mean −7.3 % (p = 2e-8), every flow tercile</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Uniformity benefit stands, slightly smaller</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WITHDRAWN</w:t>
            </w:r>
          </w:p>
        </w:tc>
        <w:tc>
          <w:tcPr>
            <w:tcW w:type="dxa" w:w="4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Overall −1.1 % (n.s.); +16.8 % below 2.2 g/s, −13.4 % above 3.3 g/s</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Peak-to-peak claim withdrawn</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STANDS</w:t>
            </w:r>
          </w:p>
        </w:tc>
        <w:tc>
          <w:tcPr>
            <w:tcW w:type="dxa" w:w="4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Group median spread +18.4 %</w:t>
            </w:r>
          </w:p>
        </w:tc>
      </w:tr>
      <w:tr>
        <w:trPr>
          <w:cantSplit/>
          <w:tblHeader w:val="false"/>
        </w:trPr>
        <w:tc>
          <w:tcPr>
            <w:tcW w:type="dxa" w:w="3470"/>
            <w:shd w:fill="F7F9FB" w:color="auto" w:val="clear"/>
            <w:tcMar>
              <w:top w:type="dxa" w:w="60"/>
              <w:left w:type="dxa" w:w="90"/>
              <w:bottom w:type="dxa" w:w="60"/>
              <w:right w:type="dxa" w:w="90"/>
            </w:tcMar>
          </w:tcPr>
          <w:p>
            <w:pPr>
              <w:spacing w:after="0" w:before="0" w:line="240" w:lineRule="auto"/>
              <w:jc w:val="left"/>
            </w:pPr>
            <w:r>
              <w:rPr>
                <w:color w:val="1F2124"/>
                <w:sz w:val="19"/>
                <w:szCs w:val="19"/>
              </w:rPr>
              <w:t xml:space="preserve">(Rev 4.1) derived columns R4/T_R4/mean_T_pow4, U_L, Re</w:t>
            </w:r>
          </w:p>
        </w:tc>
        <w:tc>
          <w:tcPr>
            <w:tcW w:type="dxa" w:w="2120"/>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CORRECTED</w:t>
            </w:r>
          </w:p>
        </w:tc>
        <w:tc>
          <w:tcPr>
            <w:tcW w:type="dxa" w:w="4048"/>
            <w:shd w:fill="F7F9FB" w:color="auto" w:val="clear"/>
            <w:tcMar>
              <w:top w:type="dxa" w:w="60"/>
              <w:left w:type="dxa" w:w="90"/>
              <w:bottom w:type="dxa" w:w="60"/>
              <w:right w:type="dxa" w:w="90"/>
            </w:tcMar>
          </w:tcPr>
          <w:p>
            <w:pPr>
              <w:spacing w:after="0" w:before="0" w:line="240" w:lineRule="auto"/>
              <w:jc w:val="right"/>
            </w:pPr>
            <w:r>
              <w:rPr>
                <w:color w:val="1F2124"/>
                <w:sz w:val="19"/>
                <w:szCs w:val="19"/>
              </w:rPr>
              <w:t xml:space="preserve">Recomputed from definitions; thermal results unchanged</w:t>
            </w:r>
          </w:p>
        </w:tc>
      </w:tr>
      <w:tr>
        <w:trPr>
          <w:cantSplit/>
          <w:tblHeader w:val="false"/>
        </w:trPr>
        <w:tc>
          <w:tcPr>
            <w:tcW w:type="dxa" w:w="3470"/>
            <w:shd w:fill="FFFFFF" w:color="auto" w:val="clear"/>
            <w:tcMar>
              <w:top w:type="dxa" w:w="60"/>
              <w:left w:type="dxa" w:w="90"/>
              <w:bottom w:type="dxa" w:w="60"/>
              <w:right w:type="dxa" w:w="90"/>
            </w:tcMar>
          </w:tcPr>
          <w:p>
            <w:pPr>
              <w:spacing w:after="0" w:before="0" w:line="240" w:lineRule="auto"/>
              <w:jc w:val="left"/>
            </w:pPr>
            <w:r>
              <w:rPr>
                <w:color w:val="1F2124"/>
                <w:sz w:val="19"/>
                <w:szCs w:val="19"/>
              </w:rPr>
              <w:t xml:space="preserve">Results invalidated: 0</w:t>
            </w:r>
          </w:p>
        </w:tc>
        <w:tc>
          <w:tcPr>
            <w:tcW w:type="dxa" w:w="2120"/>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QUALIFIED</w:t>
            </w:r>
          </w:p>
        </w:tc>
        <w:tc>
          <w:tcPr>
            <w:tcW w:type="dxa" w:w="4048"/>
            <w:shd w:fill="FFFFFF" w:color="auto" w:val="clear"/>
            <w:tcMar>
              <w:top w:type="dxa" w:w="60"/>
              <w:left w:type="dxa" w:w="90"/>
              <w:bottom w:type="dxa" w:w="60"/>
              <w:right w:type="dxa" w:w="90"/>
            </w:tcMar>
          </w:tcPr>
          <w:p>
            <w:pPr>
              <w:spacing w:after="0" w:before="0" w:line="240" w:lineRule="auto"/>
              <w:jc w:val="right"/>
            </w:pPr>
            <w:r>
              <w:rPr>
                <w:color w:val="1F2124"/>
                <w:sz w:val="19"/>
                <w:szCs w:val="19"/>
              </w:rPr>
              <w:t xml:space="preserve">No row deleted; Rev 2 superseded, not invalidated</w:t>
            </w:r>
          </w:p>
        </w:tc>
      </w:tr>
    </w:tbl>
    <w:p>
      <w:pPr>
        <w:spacing w:after="120" w:before="0" w:line="276" w:lineRule="auto"/>
      </w:pPr>
      <w:r>
        <w:t xml:space="preserve">Full evidence: GRAIL CFD Correction Report and CFD Simulation Report Rev 4 edition, Part V.</w:t>
      </w:r>
    </w:p>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D5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CD1" w:sz="4" w:space="6"/>
      </w:pBdr>
    </w:pPr>
    <w:r>
      <w:rPr>
        <w:color w:val="4A4D52"/>
        <w:sz w:val="16"/>
        <w:szCs w:val="16"/>
      </w:rPr>
      <w:t xml:space="preserve">GRAIL Collector — Dataset Audit Addendum (Rev 4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B4F7A"/>
      <w:sz w:val="30"/>
      <w:szCs w:val="30"/>
    </w:rPr>
  </w:style>
  <w:style w:type="paragraph" w:styleId="Heading2">
    <w:name w:val="Heading 2"/>
    <w:basedOn w:val="Normal"/>
    <w:next w:val="Normal"/>
    <w:qFormat/>
    <w:pPr>
      <w:spacing w:after="120" w:before="280"/>
    </w:pPr>
    <w:rPr>
      <w:rFonts w:ascii="Calibri" w:cs="Calibri" w:eastAsia="Calibri" w:hAnsi="Calibri"/>
      <w:b/>
      <w:bCs/>
      <w:color w:val="1F2124"/>
      <w:sz w:val="25"/>
      <w:szCs w:val="25"/>
    </w:rPr>
  </w:style>
  <w:style w:type="paragraph" w:styleId="Heading3">
    <w:name w:val="Heading 3"/>
    <w:basedOn w:val="Normal"/>
    <w:next w:val="Normal"/>
    <w:qFormat/>
    <w:pPr>
      <w:spacing w:after="100" w:before="220"/>
    </w:pPr>
    <w:rPr>
      <w:rFonts w:ascii="Calibri" w:cs="Calibri" w:eastAsia="Calibri" w:hAnsi="Calibri"/>
      <w:b/>
      <w:bCs/>
      <w:color w:val="4A4D5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GRAIL Collector — Dataset Audit Addendum (Rev 4 update)</dc:title>
  <dc:creator>GRAIL Collector project</dc:creator>
  <dc:description>Independent engineering audit of GRAIL_CFD_dataset_rev2.csv.</dc:description>
  <cp:lastModifiedBy>Un-named</cp:lastModifiedBy>
  <cp:revision>1</cp:revision>
  <dcterms:created xsi:type="dcterms:W3CDTF">2026-09-22T16:02:58.217Z</dcterms:created>
  <dcterms:modified xsi:type="dcterms:W3CDTF">2026-09-22T16:02:58.217Z</dcterms:modified>
</cp:coreProperties>
</file>

<file path=docProps/custom.xml><?xml version="1.0" encoding="utf-8"?>
<Properties xmlns="http://schemas.openxmlformats.org/officeDocument/2006/custom-properties" xmlns:vt="http://schemas.openxmlformats.org/officeDocument/2006/docPropsVTypes"/>
</file>