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b/>
          <w:bCs/>
          <w:color w:val="1B4F7A"/>
          <w:sz w:val="48"/>
          <w:szCs w:val="48"/>
        </w:rPr>
        <w:t xml:space="preserve">THE GRAIL COLLECTOR</w:t>
      </w:r>
    </w:p>
    <w:p>
      <w:pPr>
        <w:spacing w:after="80"/>
        <w:jc w:val="center"/>
      </w:pPr>
      <w:r>
        <w:rPr>
          <w:sz w:val="32"/>
          <w:szCs w:val="32"/>
        </w:rPr>
        <w:t xml:space="preserve">Engineering Report — complete technical record</w:t>
      </w:r>
    </w:p>
    <w:p>
      <w:pPr>
        <w:spacing w:after="400"/>
        <w:jc w:val="center"/>
      </w:pPr>
      <w:r>
        <w:rPr>
          <w:i/>
          <w:iCs/>
          <w:color w:val="4A4D52"/>
          <w:sz w:val="21"/>
          <w:szCs w:val="21"/>
        </w:rPr>
        <w:t xml:space="preserve">Converging roll-bond solar absorber with transparent insulation, PCM and vacuum insulation: design, CFD, reduced-order model, surrogate, optimisation, system model, annual and economic analysis, verification and validation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506"/>
        <w:gridCol w:w="7132"/>
      </w:tblGrid>
      <w:tr>
        <w:trPr>
          <w:cantSplit/>
          <w:tblHeader/>
        </w:trPr>
        <w:tc>
          <w:tcPr>
            <w:tcW w:type="dxa" w:w="250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c>
          <w:tcPr>
            <w:tcW w:type="dxa" w:w="713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Project</w:t>
            </w:r>
          </w:p>
        </w:tc>
        <w:tc>
          <w:tcPr>
            <w:tcW w:type="dxa" w:w="713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B.Tech minor project — GRAIL Collector</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Document type</w:t>
            </w:r>
          </w:p>
        </w:tc>
        <w:tc>
          <w:tcPr>
            <w:tcW w:type="dxa" w:w="713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Simple engineering report (working record). A formal engineering report will be prepared from it.</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Revision</w:t>
            </w:r>
          </w:p>
        </w:tc>
        <w:tc>
          <w:tcPr>
            <w:tcW w:type="dxa" w:w="713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Rev 1.0, 25 September 2026 (dataset Rev 4.2; Simulink V21)</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Authors / institution</w:t>
            </w:r>
          </w:p>
        </w:tc>
        <w:tc>
          <w:tcPr>
            <w:tcW w:type="dxa" w:w="713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[to be filled in by the authors]</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Units</w:t>
            </w:r>
          </w:p>
        </w:tc>
        <w:tc>
          <w:tcPr>
            <w:tcW w:type="dxa" w:w="713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SI throughout; temperatures in kelvin (K) in all equations, °C only where stated</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Status</w:t>
            </w:r>
          </w:p>
        </w:tc>
        <w:tc>
          <w:tcPr>
            <w:tcW w:type="dxa" w:w="713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All stages complete. V5 validation closed at method/component level. No experimental test of the GRAIL collector itself.</w:t>
            </w:r>
          </w:p>
        </w:tc>
      </w:tr>
    </w:tbl>
    <w:p>
      <w:pPr>
        <w:sectPr>
          <w:footerReference w:type="default" r:id="rId7"/>
          <w:pgSz w:w="11906" w:h="16838" w:orient="portrait"/>
          <w:pgMar w:top="1134" w:right="1134" w:bottom="1134" w:left="1134" w:header="708" w:footer="708" w:gutter="0"/>
          <w:pgNumType/>
          <w:docGrid w:linePitch="360"/>
        </w:sectPr>
      </w:pPr>
    </w:p>
    <w:p>
      <w:pPr>
        <w:pStyle w:val="Heading1"/>
        <w:pageBreakBefore/>
        <w:spacing w:after="160" w:before="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0"/>
      </w:pPr>
      <w:r>
        <w:t xml:space="preserve">1. Summary of results</w:t>
      </w:r>
    </w:p>
    <w:p>
      <w:pPr>
        <w:spacing w:after="120" w:before="0" w:line="276" w:lineRule="auto"/>
        <w:jc w:val="both"/>
      </w:pPr>
      <w:r>
        <w:t xml:space="preserve">This report records everything done on the GRAIL collector in one place: the inputs, every method, every result, every figure and table, all verification checks and the validation against published experiments. It is written plainly so that each number can be traced to its source file.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Area</w:t>
            </w:r>
          </w:p>
        </w:tc>
        <w:tc>
          <w:tcPr>
            <w:tcW w:type="dxa" w:w="67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Key result</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Collector</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12-channel aluminium roll-bond absorber, 1.10 × 0.48 m (0.528 m² per module), channels converging along the flow (G = 0.539935, λ = 1.0), bridge 31.29 mm; glass + honeycomb TIM cover; PCM + VIP rear; optical factor 0.649</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3-D CFD</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Conjugate OpenFOAM model; developed Nusselt number 4.48 (GCI 2.1 %), H1-type condition; replaces the earlier 2.92</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Reduced-order model (GRAIL-CHT)</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Matches 3-D co-current solution within 0.01 % (η) and 0.6 % (plate std); Hottel-Whillier-Bliss check +0.22 %</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Campaign</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300 Latin-hypercube cases (150 alternating, 150 parallel), all converged, energy error &lt; 0.5 %, none removed</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 vs parallel (equal inputs)</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 efficiency −7.3 % (p = 2 × 10⁻⁸), plate +13.9 K hotter; uniformity better only above 3.3 g/s (−13.4 %), worse below 2.2 g/s (+16.8 %)</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 vs parallel (same plate temperature, V7)</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 equal (Δη = −0.001 points); R4 not reduced (+0.04 %); alternating 8–11 % less uniform; needs ≈ 15 K cooler inlet</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Mechanism</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40 % of the heat each channel absorbs is returned to the plate in alternating flow (9.94 of 24.80 W)</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ANN surrogate (Stage 3)</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Test R² 0.9994–0.9998 on 60 unseen cases; mean error 0.14 %</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NSGA-II (Stage 5)</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 optima re-run in GRAIL-CHT agree within 0.13 efficiency points, 2.4 % std, 5.8 % Δp</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 curves (Stage 6)</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 η0 0.637, a1 2.10 W/m²K; alternating η0 0.597, a1 2.00 W/m²K (a1 up to 2.5 with measured VIP conductivity)</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Annual, Berhampur (Stage 7)</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POA 1,976 kWh/m²/yr; yield at 40 °C inlet 1,030 (parallel) / 965 (alternating) kWh/m²/yr</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Economics</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Best size 2 modules (1.06 m²): solar fraction 86 % / 83 %; cost of heat Rs 4.34 / 4.49 per kWh vs Rs 4.95 for electric geyser; payback ≈ 7.4 / 7.6 years</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System models</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Python, GNU Octave, Scilab Xcos and MATLAB/Simulink agree; Simulink V20/V21 PASS in all 4 cases (solar heat within 0.05 %)</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Validation (V5)</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Method checked on tested roll-bond collectors (Del Col 2013): a1, a2 within test uncertainty, η0 within 8 % (+6.0 / +7.8 %). TIM front loss matches Beikircher 2015. Partial pass, method level</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Patent</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First-pass search: combination appears new; inventive step weak–moderate; decision: publish, no filing</w:t>
            </w:r>
          </w:p>
        </w:tc>
      </w:tr>
    </w:tbl>
    <w:p>
      <w:pPr>
        <w:spacing w:after="200"/>
      </w:pP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Statements that must be kept exactly as they are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1. Parallel flow is more efficient than alternating flow at equal inputs in every stage of the work.</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2. At the same mean plate temperature the two arrangements have the same efficiency; alternating flow is less uniform at the design flow.</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3. Within the studied range, converging the channels does not raise efficiency; the optimiser moves G towards 1. The converging channel can be argued only for plate uniformity.</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4. All results are model results. The method was checked against published experiments; the GRAIL collector itself has not been tested.</w:t>
            </w:r>
          </w:p>
        </w:tc>
      </w:tr>
    </w:tbl>
    <w:p>
      <w:pPr>
        <w:pStyle w:val="Heading1"/>
        <w:pageBreakBefore/>
        <w:spacing w:after="160" w:before="0"/>
      </w:pPr>
      <w:r>
        <w:t xml:space="preserve">2. Project definition</w:t>
      </w:r>
    </w:p>
    <w:p>
      <w:pPr>
        <w:pStyle w:val="Heading2"/>
        <w:keepNext/>
        <w:spacing w:after="120" w:before="280"/>
      </w:pPr>
      <w:r>
        <w:t xml:space="preserve">2.1 Objective</w:t>
      </w:r>
    </w:p>
    <w:p>
      <w:pPr>
        <w:spacing w:after="120" w:before="0" w:line="276" w:lineRule="auto"/>
        <w:jc w:val="both"/>
      </w:pPr>
      <w:r>
        <w:t xml:space="preserve">Design a flat-plate solar water-heating collector with a roll-bond aluminium absorber whose channels converge along the flow, add a low-loss cover and rear (glass + transparent insulation, phase-change material + vacuum insulation panel), and find out by simulation whether alternating (counter-current) flow in neighbouring channels is better than ordinary parallel flow. Then estimate its annual performance and cost for a household in Berhampur, Odisha.</w:t>
      </w:r>
    </w:p>
    <w:p>
      <w:pPr>
        <w:pStyle w:val="Heading2"/>
        <w:keepNext/>
        <w:spacing w:after="120" w:before="280"/>
      </w:pPr>
      <w:r>
        <w:t xml:space="preserve">2.2 Work chain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349"/>
        <w:gridCol w:w="5590"/>
        <w:gridCol w:w="2699"/>
      </w:tblGrid>
      <w:tr>
        <w:trPr>
          <w:cantSplit/>
          <w:tblHeader/>
        </w:trPr>
        <w:tc>
          <w:tcPr>
            <w:tcW w:type="dxa" w:w="134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Step</w:t>
            </w:r>
          </w:p>
        </w:tc>
        <w:tc>
          <w:tcPr>
            <w:tcW w:type="dxa" w:w="559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What was done</w:t>
            </w:r>
          </w:p>
        </w:tc>
        <w:tc>
          <w:tcPr>
            <w:tcW w:type="dxa" w:w="269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Tool</w:t>
            </w:r>
          </w:p>
        </w:tc>
      </w:tr>
      <w:tr>
        <w:trPr>
          <w:cantSplit/>
          <w:tblHeader w:val="false"/>
        </w:trPr>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 CAD</w:t>
            </w:r>
          </w:p>
        </w:tc>
        <w:tc>
          <w:tcPr>
            <w:tcW w:type="dxa" w:w="5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Parametric 3-D model, 948 features, 131 parameters, verified gates</w:t>
            </w:r>
          </w:p>
        </w:tc>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Autodesk Fusion</w:t>
            </w:r>
          </w:p>
        </w:tc>
      </w:tr>
      <w:tr>
        <w:trPr>
          <w:cantSplit/>
          <w:tblHeader w:val="false"/>
        </w:trPr>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 Geometry audit</w:t>
            </w:r>
          </w:p>
        </w:tc>
        <w:tc>
          <w:tcPr>
            <w:tcW w:type="dxa" w:w="5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Channel sections measured from the CAD (Gate 1)</w:t>
            </w:r>
          </w:p>
        </w:tc>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Python (NURBS integration)</w:t>
            </w:r>
          </w:p>
        </w:tc>
      </w:tr>
      <w:tr>
        <w:trPr>
          <w:cantSplit/>
          <w:tblHeader w:val="false"/>
        </w:trPr>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 Mesh</w:t>
            </w:r>
          </w:p>
        </w:tc>
        <w:tc>
          <w:tcPr>
            <w:tcW w:type="dxa" w:w="5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Structured hexahedral channel meshes from the CAD surfaces</w:t>
            </w:r>
          </w:p>
        </w:tc>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Python + OpenFOAM blockMesh</w:t>
            </w:r>
          </w:p>
        </w:tc>
      </w:tr>
      <w:tr>
        <w:trPr>
          <w:cantSplit/>
          <w:tblHeader w:val="false"/>
        </w:trPr>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 3-D CFD</w:t>
            </w:r>
          </w:p>
        </w:tc>
        <w:tc>
          <w:tcPr>
            <w:tcW w:type="dxa" w:w="5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Flow (simpleFoam) + conjugate heat transfer (chtMultiRegionSimpleFoam, frozenFlow)</w:t>
            </w:r>
          </w:p>
        </w:tc>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OpenFOAM v1912</w:t>
            </w:r>
          </w:p>
        </w:tc>
      </w:tr>
      <w:tr>
        <w:trPr>
          <w:cantSplit/>
          <w:tblHeader w:val="false"/>
        </w:trPr>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 Reduced-order model</w:t>
            </w:r>
          </w:p>
        </w:tc>
        <w:tc>
          <w:tcPr>
            <w:tcW w:type="dxa" w:w="5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GRAIL-CHT: 2-D plate conduction + 1-D channel flow + glazing/radiation + rear stack</w:t>
            </w:r>
          </w:p>
        </w:tc>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Python (own code)</w:t>
            </w:r>
          </w:p>
        </w:tc>
      </w:tr>
      <w:tr>
        <w:trPr>
          <w:cantSplit/>
          <w:tblHeader w:val="false"/>
        </w:trPr>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 Campaign</w:t>
            </w:r>
          </w:p>
        </w:tc>
        <w:tc>
          <w:tcPr>
            <w:tcW w:type="dxa" w:w="5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300 Latin-hypercube cases, Rev 4.2 dataset</w:t>
            </w:r>
          </w:p>
        </w:tc>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GRAIL-CHT</w:t>
            </w:r>
          </w:p>
        </w:tc>
      </w:tr>
      <w:tr>
        <w:trPr>
          <w:cantSplit/>
          <w:tblHeader w:val="false"/>
        </w:trPr>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 Stage 3</w:t>
            </w:r>
          </w:p>
        </w:tc>
        <w:tc>
          <w:tcPr>
            <w:tcW w:type="dxa" w:w="5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ANN ensemble surrogate, GPR benchmark, SHAP</w:t>
            </w:r>
          </w:p>
        </w:tc>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scikit-learn, shap</w:t>
            </w:r>
          </w:p>
        </w:tc>
      </w:tr>
      <w:tr>
        <w:trPr>
          <w:cantSplit/>
          <w:tblHeader w:val="false"/>
        </w:trPr>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 Stage 5</w:t>
            </w:r>
          </w:p>
        </w:tc>
        <w:tc>
          <w:tcPr>
            <w:tcW w:type="dxa" w:w="5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NSGA-II multi-objective optimisation + verification</w:t>
            </w:r>
          </w:p>
        </w:tc>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pymoo + GRAIL-CHT</w:t>
            </w:r>
          </w:p>
        </w:tc>
      </w:tr>
      <w:tr>
        <w:trPr>
          <w:cantSplit/>
          <w:tblHeader w:val="false"/>
        </w:trPr>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 Stage 6</w:t>
            </w:r>
          </w:p>
        </w:tc>
        <w:tc>
          <w:tcPr>
            <w:tcW w:type="dxa" w:w="5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Virtual ISO 9806 test, efficiency curves, dynamic collector–tank model</w:t>
            </w:r>
          </w:p>
        </w:tc>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GRAIL-CHT + Python</w:t>
            </w:r>
          </w:p>
        </w:tc>
      </w:tr>
      <w:tr>
        <w:trPr>
          <w:cantSplit/>
          <w:tblHeader w:val="false"/>
        </w:trPr>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 Stage 7</w:t>
            </w:r>
          </w:p>
        </w:tc>
        <w:tc>
          <w:tcPr>
            <w:tcW w:type="dxa" w:w="5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Annual simulation with PVGIS TMY; sizing; economics</w:t>
            </w:r>
          </w:p>
        </w:tc>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Python</w:t>
            </w:r>
          </w:p>
        </w:tc>
      </w:tr>
      <w:tr>
        <w:trPr>
          <w:cantSplit/>
          <w:tblHeader w:val="false"/>
        </w:trPr>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 System models</w:t>
            </w:r>
          </w:p>
        </w:tc>
        <w:tc>
          <w:tcPr>
            <w:tcW w:type="dxa" w:w="5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Independent implementations</w:t>
            </w:r>
          </w:p>
        </w:tc>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GNU Octave, Scilab Xcos, MATLAB/Simulink</w:t>
            </w:r>
          </w:p>
        </w:tc>
      </w:tr>
      <w:tr>
        <w:trPr>
          <w:cantSplit/>
          <w:tblHeader w:val="false"/>
        </w:trPr>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 V7</w:t>
            </w:r>
          </w:p>
        </w:tc>
        <w:tc>
          <w:tcPr>
            <w:tcW w:type="dxa" w:w="5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 vs parallel at matched mean plate temperature</w:t>
            </w:r>
          </w:p>
        </w:tc>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GRAIL-CHT</w:t>
            </w:r>
          </w:p>
        </w:tc>
      </w:tr>
      <w:tr>
        <w:trPr>
          <w:cantSplit/>
          <w:tblHeader w:val="false"/>
        </w:trPr>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13 V5</w:t>
            </w:r>
          </w:p>
        </w:tc>
        <w:tc>
          <w:tcPr>
            <w:tcW w:type="dxa" w:w="5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Validation against published experimental work (16 papers screened)</w:t>
            </w:r>
          </w:p>
        </w:tc>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HWB model, GRAIL-CHT</w:t>
            </w:r>
          </w:p>
        </w:tc>
      </w:tr>
      <w:tr>
        <w:trPr>
          <w:cantSplit/>
          <w:tblHeader w:val="false"/>
        </w:trPr>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14 V1</w:t>
            </w:r>
          </w:p>
        </w:tc>
        <w:tc>
          <w:tcPr>
            <w:tcW w:type="dxa" w:w="5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First-pass patent/prior-art search</w:t>
            </w:r>
          </w:p>
        </w:tc>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Google Patents, literature</w:t>
            </w:r>
          </w:p>
        </w:tc>
      </w:tr>
    </w:tbl>
    <w:p>
      <w:pPr>
        <w:pStyle w:val="Heading2"/>
        <w:keepNext/>
        <w:spacing w:after="120" w:before="280"/>
      </w:pPr>
      <w:r>
        <w:t xml:space="preserve">2.3 Flags used in this report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Flag</w:t>
            </w:r>
          </w:p>
        </w:tc>
        <w:tc>
          <w:tcPr>
            <w:tcW w:type="dxa" w:w="67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Meaning</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 value chosen by the engineer without a datasheet or roadmap source. Must be stated as an assumption.</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DESIGN_REVIEW_REQUIRED</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 result or input that needs a design decision or better data before it is used in a design.</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Deferred</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Deliberately left out of scope (PCM latent heat, 3-D optics, full 3-D campaign, topology optimisation).</w:t>
            </w:r>
          </w:p>
        </w:tc>
      </w:tr>
    </w:tbl>
    <w:p>
      <w:pPr>
        <w:pStyle w:val="Heading2"/>
        <w:keepNext/>
        <w:spacing w:after="120" w:before="280"/>
      </w:pPr>
      <w:r>
        <w:t xml:space="preserve">2.4 Rules followed</w:t>
      </w:r>
    </w:p>
    <w:p>
      <w:pPr>
        <w:pStyle w:val="ListParagraph"/>
        <w:numPr>
          <w:ilvl w:val="0"/>
          <w:numId w:val="2"/>
        </w:numPr>
        <w:spacing w:after="80" w:before="0" w:line="276" w:lineRule="auto"/>
      </w:pPr>
      <w:r>
        <w:t xml:space="preserve">Only the converging geometry is used. The old diverging geometry is never used.</w:t>
      </w:r>
    </w:p>
    <w:p>
      <w:pPr>
        <w:pStyle w:val="ListParagraph"/>
        <w:numPr>
          <w:ilvl w:val="0"/>
          <w:numId w:val="2"/>
        </w:numPr>
        <w:spacing w:after="80" w:before="0" w:line="276" w:lineRule="auto"/>
      </w:pPr>
      <w:r>
        <w:t xml:space="preserve">No data point was deleted or changed. Outliers were never removed.</w:t>
      </w:r>
    </w:p>
    <w:p>
      <w:pPr>
        <w:pStyle w:val="ListParagraph"/>
        <w:numPr>
          <w:ilvl w:val="0"/>
          <w:numId w:val="2"/>
        </w:numPr>
        <w:spacing w:after="80" w:before="0" w:line="276" w:lineRule="auto"/>
      </w:pPr>
      <w:r>
        <w:t xml:space="preserve">SI units; kelvin inside every T⁴ term.</w:t>
      </w:r>
    </w:p>
    <w:p>
      <w:pPr>
        <w:pStyle w:val="ListParagraph"/>
        <w:numPr>
          <w:ilvl w:val="0"/>
          <w:numId w:val="2"/>
        </w:numPr>
        <w:spacing w:after="80" w:before="0" w:line="276" w:lineRule="auto"/>
      </w:pPr>
      <w:r>
        <w:t xml:space="preserve">No result was tuned to make alternating flow win.</w:t>
      </w:r>
    </w:p>
    <w:p>
      <w:pPr>
        <w:pStyle w:val="ListParagraph"/>
        <w:numPr>
          <w:ilvl w:val="0"/>
          <w:numId w:val="2"/>
        </w:numPr>
        <w:spacing w:after="80" w:before="0" w:line="276" w:lineRule="auto"/>
      </w:pPr>
      <w:r>
        <w:t xml:space="preserve">No experimental validation of the GRAIL collector is claimed.</w:t>
      </w:r>
    </w:p>
    <w:p>
      <w:pPr>
        <w:pStyle w:val="Heading1"/>
        <w:pageBreakBefore/>
        <w:spacing w:after="160" w:before="0"/>
      </w:pPr>
      <w:r>
        <w:t xml:space="preserve">3. Collector design and inputs</w:t>
      </w:r>
    </w:p>
    <w:p>
      <w:pPr>
        <w:pStyle w:val="Heading2"/>
        <w:keepNext/>
        <w:spacing w:after="120" w:before="280"/>
      </w:pPr>
      <w:r>
        <w:t xml:space="preserve">3.1 Description</w:t>
      </w:r>
    </w:p>
    <w:p>
      <w:pPr>
        <w:spacing w:after="120" w:before="0" w:line="276" w:lineRule="auto"/>
        <w:jc w:val="both"/>
      </w:pPr>
      <w:r>
        <w:t xml:space="preserve">One GRAIL module is a flat-plate collector 1.10 m long and 0.48 m wide. The absorber is two 1 mm aluminium sheets roll-bonded together, with 12 channels inflated between them. Each channel narrows from inlet to outlet. Above the absorber sit an air gap, a 10 mm honeycomb transparent-insulation layer, a second gap and the glass. Below it sit a 10 mm phase-change-material layer and a 20 mm vacuum insulation panel. In the alternating arrangement odd and even channels carry water in opposite directions; in the parallel arrangement all flow the same way.</w:t>
      </w:r>
    </w:p>
    <w:p>
      <w:pPr>
        <w:pStyle w:val="Heading2"/>
        <w:keepNext/>
        <w:spacing w:after="120" w:before="280"/>
      </w:pPr>
      <w:r>
        <w:t xml:space="preserve">3.2 Geometry</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470"/>
        <w:gridCol w:w="3277"/>
        <w:gridCol w:w="2891"/>
      </w:tblGrid>
      <w:tr>
        <w:trPr>
          <w:cantSplit/>
          <w:tblHeader/>
        </w:trPr>
        <w:tc>
          <w:tcPr>
            <w:tcW w:type="dxa" w:w="347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327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Channel length L</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1.100 m</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 CAD</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 width W</w:t>
            </w:r>
          </w:p>
        </w:tc>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0.480 m</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 CAD</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Aperture per module</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0.528 m²</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 × W</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Number of channels</w:t>
            </w:r>
          </w:p>
        </w:tc>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Channel pitch</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 mm</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CAD</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Upper / lower sheet thickness</w:t>
            </w:r>
          </w:p>
        </w:tc>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 / 1.0 mm</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Inlet section area A_in</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28.057 mm²</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(Gate 1)</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Outlet section area A_out</w:t>
            </w:r>
          </w:p>
        </w:tc>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7.921 mm²</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(Gate 1)</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Inlet / outlet wetted perimeter</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21.587 / 11.288 mm</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Inlet / outlet hydraulic diameter</w:t>
            </w:r>
          </w:p>
        </w:tc>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5.1989 / 2.8071 mm</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Grading ratio G = Dh_out / Dh_in</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0.539935</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Grading exponent λ</w:t>
            </w:r>
          </w:p>
        </w:tc>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Widest channel footprint</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8.714 mm</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Bridge (metal land) width</w:t>
            </w:r>
          </w:p>
        </w:tc>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31.286 mm</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pitch − footprint</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Channel section</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Lenticular: flat floor, root fillets, tangent dome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CAD</w:t>
            </w:r>
          </w:p>
        </w:tc>
      </w:tr>
    </w:tbl>
    <w:p>
      <w:pPr>
        <w:keepNext/>
        <w:spacing w:after="60" w:before="120"/>
      </w:pPr>
      <w:r>
        <w:rPr>
          <w:i/>
          <w:iCs/>
          <w:color w:val="4A4D52"/>
          <w:sz w:val="17"/>
          <w:szCs w:val="17"/>
        </w:rPr>
        <w:t xml:space="preserve">Table 3.1. Absorber geometry (as built, converging)</w:t>
      </w:r>
    </w:p>
    <w:p>
      <w:pPr>
        <w:spacing w:after="120" w:before="0" w:line="276" w:lineRule="auto"/>
      </w:pPr>
      <w:r>
        <w:t xml:space="preserve">Axial grading law (hydraulic diameter along the flow, x from inlet):</w:t>
      </w:r>
    </w:p>
    <w:p>
      <w:pPr>
        <w:spacing w:after="120" w:before="0" w:line="276" w:lineRule="auto"/>
      </w:pPr>
      <w:r>
        <w:rPr>
          <w:rFonts w:ascii="Consolas" w:cs="Consolas" w:eastAsia="Consolas" w:hAnsi="Consolas"/>
          <w:sz w:val="20"/>
          <w:szCs w:val="20"/>
        </w:rPr>
        <w:t xml:space="preserve">Dh(x) = Dh_in · [1 − (1 − G) · (x / L)^λ],  with G = 0.539935 and λ = 1.0</w:t>
      </w:r>
    </w:p>
    <w:p>
      <w:pPr>
        <w:spacing w:after="120" w:before="0" w:line="276" w:lineRule="auto"/>
        <w:jc w:val="both"/>
      </w:pPr>
      <w:r>
        <w:t xml:space="preserve">The ends do not depend on λ; λ shapes only the middle of the channel. The channel section is self-similar, so area scales with the square of the section scale.</w:t>
      </w:r>
    </w:p>
    <w:p>
      <w:pPr>
        <w:spacing w:after="40" w:before="160"/>
        <w:jc w:val="center"/>
      </w:pPr>
      <w:r>
        <w:drawing>
          <wp:inline distT="0" distB="0" distL="0" distR="0">
            <wp:extent cx="551497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14975" cy="1924050"/>
                    </a:xfrm>
                    <a:prstGeom prst="rect">
                      <a:avLst/>
                    </a:prstGeom>
                  </pic:spPr>
                </pic:pic>
              </a:graphicData>
            </a:graphic>
          </wp:inline>
        </w:drawing>
      </w:r>
    </w:p>
    <w:p>
      <w:pPr>
        <w:spacing w:after="240" w:before="60"/>
        <w:jc w:val="center"/>
      </w:pPr>
      <w:r>
        <w:rPr>
          <w:i/>
          <w:iCs/>
          <w:color w:val="4A4D52"/>
          <w:sz w:val="17"/>
          <w:szCs w:val="17"/>
        </w:rPr>
        <w:t xml:space="preserve">Figure 3.1. Absorber geometry (CAD)</w:t>
      </w:r>
    </w:p>
    <w:p>
      <w:pPr>
        <w:spacing w:after="40" w:before="160"/>
        <w:jc w:val="center"/>
      </w:pPr>
      <w:r>
        <w:drawing>
          <wp:inline distT="0" distB="0" distL="0" distR="0">
            <wp:extent cx="5514975"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14975" cy="4105275"/>
                    </a:xfrm>
                    <a:prstGeom prst="rect">
                      <a:avLst/>
                    </a:prstGeom>
                  </pic:spPr>
                </pic:pic>
              </a:graphicData>
            </a:graphic>
          </wp:inline>
        </w:drawing>
      </w:r>
    </w:p>
    <w:p>
      <w:pPr>
        <w:spacing w:after="240" w:before="60"/>
        <w:jc w:val="center"/>
      </w:pPr>
      <w:r>
        <w:rPr>
          <w:i/>
          <w:iCs/>
          <w:color w:val="4A4D52"/>
          <w:sz w:val="17"/>
          <w:szCs w:val="17"/>
        </w:rPr>
        <w:t xml:space="preserve">Figure 3.2. Channel cross-sections at inlet and outlet</w:t>
      </w:r>
    </w:p>
    <w:p>
      <w:pPr>
        <w:pStyle w:val="Heading2"/>
        <w:keepNext/>
        <w:spacing w:after="120" w:before="280"/>
      </w:pPr>
      <w:r>
        <w:t xml:space="preserve">3.3 Materials, optics and loss stack</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506"/>
        <w:gridCol w:w="4241"/>
        <w:gridCol w:w="2891"/>
      </w:tblGrid>
      <w:tr>
        <w:trPr>
          <w:cantSplit/>
          <w:tblHeader/>
        </w:trPr>
        <w:tc>
          <w:tcPr>
            <w:tcW w:type="dxa" w:w="250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Property</w:t>
            </w:r>
          </w:p>
        </w:tc>
        <w:tc>
          <w:tcPr>
            <w:tcW w:type="dxa" w:w="424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Note</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w:t>
            </w:r>
          </w:p>
        </w:tc>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 aluminium, k = 229 W/m·K</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 coating</w:t>
            </w:r>
          </w:p>
        </w:tc>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α = 0.95, ε = 0.04 (TiNOX-type selective)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Glazing</w:t>
            </w:r>
          </w:p>
        </w:tc>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 mm glass, k = 1.05 W/m·K, ε = 0.88; system τ = 0.833</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Transparent insulation (TIM)</w:t>
            </w:r>
          </w:p>
        </w:tc>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 mm honeycomb, k = 0.075 W/m·K, τ = 0.82</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Air gaps</w:t>
            </w:r>
          </w:p>
        </w:tc>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Lower 7.45 mm, upper 4.30 mm, k = 0.026 W/m·K</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CAD</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Optical factor</w:t>
            </w:r>
          </w:p>
        </w:tc>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0.833 × 0.82 × 0.95 = 0.6489</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Absorbed flux = 0.6489 × G_T</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 layer</w:t>
            </w:r>
          </w:p>
        </w:tc>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 mm, k = 2.80 W/m·K (sensible only in the models)</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latent heat deferred</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Vacuum insulation panel (VIP)</w:t>
            </w:r>
          </w:p>
        </w:tc>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 mm, k = 0.006 W/m·K (catalogue)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DESIGN_REVIEW_REQUIRED: measured in-collector 0.010–0.018</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Rear outer film</w:t>
            </w:r>
          </w:p>
        </w:tc>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h_rear = 3.0 W/m²K</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Water</w:t>
            </w:r>
          </w:p>
        </w:tc>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ρ 997, cp 4180 J/kg·K, μ 8.55e-4 Pa·s (3-D); k(T), μ(T) in GRAIL-CHT</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Sky temperature</w:t>
            </w:r>
          </w:p>
        </w:tc>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T_sky = 0.0552 T_amb^1.5</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Swinbank</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Wind coefficient</w:t>
            </w:r>
          </w:p>
        </w:tc>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h_wind = 5.7 + 3.8 v</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McAdams</w:t>
            </w:r>
          </w:p>
        </w:tc>
      </w:tr>
    </w:tbl>
    <w:p>
      <w:pPr>
        <w:keepNext/>
        <w:spacing w:after="60" w:before="120"/>
      </w:pPr>
      <w:r>
        <w:rPr>
          <w:i/>
          <w:iCs/>
          <w:color w:val="4A4D52"/>
          <w:sz w:val="17"/>
          <w:szCs w:val="17"/>
        </w:rPr>
        <w:t xml:space="preserve">Table 3.2. Materials and stack used in every model</w:t>
      </w:r>
    </w:p>
    <w:p>
      <w:pPr>
        <w:pStyle w:val="Heading2"/>
        <w:keepNext/>
        <w:spacing w:after="120" w:before="280"/>
      </w:pPr>
      <w:r>
        <w:t xml:space="preserve">3.4 CAD model identity</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373"/>
        <w:gridCol w:w="6265"/>
      </w:tblGrid>
      <w:tr>
        <w:trPr>
          <w:cantSplit/>
          <w:tblHeader/>
        </w:trPr>
        <w:tc>
          <w:tcPr>
            <w:tcW w:type="dxa" w:w="337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Property</w:t>
            </w:r>
          </w:p>
        </w:tc>
        <w:tc>
          <w:tcPr>
            <w:tcW w:type="dxa" w:w="626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r>
      <w:tr>
        <w:trPr>
          <w:cantSplit/>
          <w:tblHeader w:val="false"/>
        </w:trPr>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Document</w:t>
            </w:r>
          </w:p>
        </w:tc>
        <w:tc>
          <w:tcPr>
            <w:tcW w:type="dxa" w:w="626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Grail_Collector 2, version 3</w:t>
            </w:r>
          </w:p>
        </w:tc>
      </w:tr>
      <w:tr>
        <w:trPr>
          <w:cantSplit/>
          <w:tblHeader w:val="false"/>
        </w:trPr>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Timeline features</w:t>
            </w:r>
          </w:p>
        </w:tc>
        <w:tc>
          <w:tcPr>
            <w:tcW w:type="dxa" w:w="626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948</w:t>
            </w:r>
          </w:p>
        </w:tc>
      </w:tr>
      <w:tr>
        <w:trPr>
          <w:cantSplit/>
          <w:tblHeader w:val="false"/>
        </w:trPr>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Unhealthy features</w:t>
            </w:r>
          </w:p>
        </w:tc>
        <w:tc>
          <w:tcPr>
            <w:tcW w:type="dxa" w:w="626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r>
      <w:tr>
        <w:trPr>
          <w:cantSplit/>
          <w:tblHeader w:val="false"/>
        </w:trPr>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Suppressed features</w:t>
            </w:r>
          </w:p>
        </w:tc>
        <w:tc>
          <w:tcPr>
            <w:tcW w:type="dxa" w:w="626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r>
      <w:tr>
        <w:trPr>
          <w:cantSplit/>
          <w:tblHeader w:val="false"/>
        </w:trPr>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Occurrences</w:t>
            </w:r>
          </w:p>
        </w:tc>
        <w:tc>
          <w:tcPr>
            <w:tcW w:type="dxa" w:w="626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123</w:t>
            </w:r>
          </w:p>
        </w:tc>
      </w:tr>
      <w:tr>
        <w:trPr>
          <w:cantSplit/>
          <w:tblHeader w:val="false"/>
        </w:trPr>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Bodies</w:t>
            </w:r>
          </w:p>
        </w:tc>
        <w:tc>
          <w:tcPr>
            <w:tcW w:type="dxa" w:w="626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145 (135 physical, 10 non-physical reference)</w:t>
            </w:r>
          </w:p>
        </w:tc>
      </w:tr>
      <w:tr>
        <w:trPr>
          <w:cantSplit/>
          <w:tblHeader w:val="false"/>
        </w:trPr>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Non-solid bodies</w:t>
            </w:r>
          </w:p>
        </w:tc>
        <w:tc>
          <w:tcPr>
            <w:tcW w:type="dxa" w:w="626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r>
      <w:tr>
        <w:trPr>
          <w:cantSplit/>
          <w:tblHeader w:val="false"/>
        </w:trPr>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Stray bodies at root</w:t>
            </w:r>
          </w:p>
        </w:tc>
        <w:tc>
          <w:tcPr>
            <w:tcW w:type="dxa" w:w="626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r>
      <w:tr>
        <w:trPr>
          <w:cantSplit/>
          <w:tblHeader w:val="false"/>
        </w:trPr>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Sketches</w:t>
            </w:r>
          </w:p>
        </w:tc>
        <w:tc>
          <w:tcPr>
            <w:tcW w:type="dxa" w:w="626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285, every one with a closed profile</w:t>
            </w:r>
          </w:p>
        </w:tc>
      </w:tr>
      <w:tr>
        <w:trPr>
          <w:cantSplit/>
          <w:tblHeader w:val="false"/>
        </w:trPr>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Joints</w:t>
            </w:r>
          </w:p>
        </w:tc>
        <w:tc>
          <w:tcPr>
            <w:tcW w:type="dxa" w:w="626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 all healthy</w:t>
            </w:r>
          </w:p>
        </w:tc>
      </w:tr>
      <w:tr>
        <w:trPr>
          <w:cantSplit/>
          <w:tblHeader w:val="false"/>
        </w:trPr>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External references</w:t>
            </w:r>
          </w:p>
        </w:tc>
        <w:tc>
          <w:tcPr>
            <w:tcW w:type="dxa" w:w="626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None</w:t>
            </w:r>
          </w:p>
        </w:tc>
      </w:tr>
      <w:tr>
        <w:trPr>
          <w:cantSplit/>
          <w:tblHeader w:val="false"/>
        </w:trPr>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 type / units</w:t>
            </w:r>
          </w:p>
        </w:tc>
        <w:tc>
          <w:tcPr>
            <w:tcW w:type="dxa" w:w="626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Parametric, millimetres</w:t>
            </w:r>
          </w:p>
        </w:tc>
      </w:tr>
      <w:tr>
        <w:trPr>
          <w:cantSplit/>
          <w:tblHeader w:val="false"/>
        </w:trPr>
        <w:tc>
          <w:tcPr>
            <w:tcW w:type="dxa" w:w="337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User parameters</w:t>
            </w:r>
          </w:p>
        </w:tc>
        <w:tc>
          <w:tcPr>
            <w:tcW w:type="dxa" w:w="626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131, no unresolved expression tokens</w:t>
            </w:r>
          </w:p>
        </w:tc>
      </w:tr>
      <w:tr>
        <w:trPr>
          <w:cantSplit/>
          <w:tblHeader w:val="false"/>
        </w:trPr>
        <w:tc>
          <w:tcPr>
            <w:tcW w:type="dxa" w:w="337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Materials in use</w:t>
            </w:r>
          </w:p>
        </w:tc>
        <w:tc>
          <w:tcPr>
            <w:tcW w:type="dxa" w:w="626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16, every body assigned</w:t>
            </w:r>
          </w:p>
        </w:tc>
      </w:tr>
    </w:tbl>
    <w:p>
      <w:pPr>
        <w:keepNext/>
        <w:spacing w:after="60" w:before="120"/>
      </w:pPr>
      <w:r>
        <w:rPr>
          <w:i/>
          <w:iCs/>
          <w:color w:val="4A4D52"/>
          <w:sz w:val="17"/>
          <w:szCs w:val="17"/>
        </w:rPr>
        <w:t xml:space="preserve">Table 3.3. CAD model verified state (Fusion, Grail_Collector 2 v3)</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120"/>
        <w:gridCol w:w="771"/>
        <w:gridCol w:w="6747"/>
      </w:tblGrid>
      <w:tr>
        <w:trPr>
          <w:cantSplit/>
          <w:tblHeader/>
        </w:trPr>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 class</w:t>
            </w:r>
          </w:p>
        </w:tc>
        <w:tc>
          <w:tcPr>
            <w:tcW w:type="dxa" w:w="77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Count</w:t>
            </w:r>
          </w:p>
        </w:tc>
        <w:tc>
          <w:tcPr>
            <w:tcW w:type="dxa" w:w="67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What it means, and how far you may trust it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73</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The value is specified in the design roadmap, with the roadmap tag recorded in the comment. Quote freely, but cite the roadmap clause rather than the model.</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Read back off the built geometry rather than typed in. These are results, not inputs, and they are the numbers to quote when describing what the model actually is.</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Computed from other parameters by an expression. Correct by construction as long as its inputs are.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CHECKED</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 hand calculation run against the model to test whether something invented is defensible. Weaker than MEASURED: it tests plausibility, not truth.</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23</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roadmap source. A physically reasonable value chosen so the model could be built. Never present one of these as a roadmap figure. 19 of them are actual dimensions.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Review and control</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Flags, counters and records rather than dimensions, including the DESIGN_REVIEW register.</w:t>
            </w:r>
          </w:p>
        </w:tc>
      </w:tr>
    </w:tbl>
    <w:p>
      <w:pPr>
        <w:keepNext/>
        <w:spacing w:after="60" w:before="120"/>
      </w:pPr>
      <w:r>
        <w:rPr>
          <w:i/>
          <w:iCs/>
          <w:color w:val="4A4D52"/>
          <w:sz w:val="17"/>
          <w:szCs w:val="17"/>
        </w:rPr>
        <w:t xml:space="preserve">Table 3.4. Classes of the 131 CAD parameters (full register in Appendix A)</w:t>
      </w:r>
    </w:p>
    <w:p>
      <w:pPr>
        <w:pStyle w:val="Heading2"/>
        <w:keepNext/>
        <w:spacing w:after="120" w:before="280"/>
      </w:pPr>
      <w:r>
        <w:t xml:space="preserve">3.5 Mass and materials of the assembly</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143"/>
        <w:gridCol w:w="1571"/>
        <w:gridCol w:w="1257"/>
        <w:gridCol w:w="1571"/>
        <w:gridCol w:w="2096"/>
      </w:tblGrid>
      <w:tr>
        <w:trPr>
          <w:cantSplit/>
          <w:tblHeader/>
        </w:trPr>
        <w:tc>
          <w:tcPr>
            <w:tcW w:type="dxa" w:w="314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Group</w:t>
            </w:r>
          </w:p>
        </w:tc>
        <w:tc>
          <w:tcPr>
            <w:tcW w:type="dxa" w:w="157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Components</w:t>
            </w:r>
          </w:p>
        </w:tc>
        <w:tc>
          <w:tcPr>
            <w:tcW w:type="dxa" w:w="125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Bodies</w:t>
            </w:r>
          </w:p>
        </w:tc>
        <w:tc>
          <w:tcPr>
            <w:tcW w:type="dxa" w:w="157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Mass (kg)</w:t>
            </w:r>
          </w:p>
        </w:tc>
        <w:tc>
          <w:tcPr>
            <w:tcW w:type="dxa" w:w="209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Volume (mm³)</w:t>
            </w:r>
          </w:p>
        </w:tc>
      </w:tr>
      <w:tr>
        <w:trPr>
          <w:cantSplit/>
          <w:tblHeader w:val="false"/>
        </w:trPr>
        <w:tc>
          <w:tcPr>
            <w:tcW w:type="dxa" w:w="314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00_FRAME</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41</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8.291</w:t>
            </w:r>
          </w:p>
        </w:tc>
        <w:tc>
          <w:tcPr>
            <w:tcW w:type="dxa" w:w="209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3,044,683</w:t>
            </w:r>
          </w:p>
        </w:tc>
      </w:tr>
      <w:tr>
        <w:trPr>
          <w:cantSplit/>
          <w:tblHeader w:val="false"/>
        </w:trPr>
        <w:tc>
          <w:tcPr>
            <w:tcW w:type="dxa" w:w="314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01_GLAZING</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10.271</w:t>
            </w:r>
          </w:p>
        </w:tc>
        <w:tc>
          <w:tcPr>
            <w:tcW w:type="dxa" w:w="209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4,446,080</w:t>
            </w:r>
          </w:p>
        </w:tc>
      </w:tr>
      <w:tr>
        <w:trPr>
          <w:cantSplit/>
          <w:tblHeader w:val="false"/>
        </w:trPr>
        <w:tc>
          <w:tcPr>
            <w:tcW w:type="dxa" w:w="314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02_TIM</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0.463</w:t>
            </w:r>
          </w:p>
        </w:tc>
        <w:tc>
          <w:tcPr>
            <w:tcW w:type="dxa" w:w="209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11,304,006</w:t>
            </w:r>
          </w:p>
        </w:tc>
      </w:tr>
      <w:tr>
        <w:trPr>
          <w:cantSplit/>
          <w:tblHeader w:val="false"/>
        </w:trPr>
        <w:tc>
          <w:tcPr>
            <w:tcW w:type="dxa" w:w="314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03_ABSORBER_ASSEMBLY</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3.272</w:t>
            </w:r>
          </w:p>
        </w:tc>
        <w:tc>
          <w:tcPr>
            <w:tcW w:type="dxa" w:w="209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1,350,591</w:t>
            </w:r>
          </w:p>
        </w:tc>
      </w:tr>
      <w:tr>
        <w:trPr>
          <w:cantSplit/>
          <w:tblHeader w:val="false"/>
        </w:trPr>
        <w:tc>
          <w:tcPr>
            <w:tcW w:type="dxa" w:w="314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04_MANIFOLD</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4.360</w:t>
            </w:r>
          </w:p>
        </w:tc>
        <w:tc>
          <w:tcPr>
            <w:tcW w:type="dxa" w:w="209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1,748,273</w:t>
            </w:r>
          </w:p>
        </w:tc>
      </w:tr>
      <w:tr>
        <w:trPr>
          <w:cantSplit/>
          <w:tblHeader w:val="false"/>
        </w:trPr>
        <w:tc>
          <w:tcPr>
            <w:tcW w:type="dxa" w:w="314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05_PCM_TRAY</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6.095</w:t>
            </w:r>
          </w:p>
        </w:tc>
        <w:tc>
          <w:tcPr>
            <w:tcW w:type="dxa" w:w="209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5,939,571</w:t>
            </w:r>
          </w:p>
        </w:tc>
      </w:tr>
      <w:tr>
        <w:trPr>
          <w:cantSplit/>
          <w:tblHeader w:val="false"/>
        </w:trPr>
        <w:tc>
          <w:tcPr>
            <w:tcW w:type="dxa" w:w="314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06_INSULATION</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2.209</w:t>
            </w:r>
          </w:p>
        </w:tc>
        <w:tc>
          <w:tcPr>
            <w:tcW w:type="dxa" w:w="209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11,794,743</w:t>
            </w:r>
          </w:p>
        </w:tc>
      </w:tr>
      <w:tr>
        <w:trPr>
          <w:cantSplit/>
          <w:tblHeader w:val="false"/>
        </w:trPr>
        <w:tc>
          <w:tcPr>
            <w:tcW w:type="dxa" w:w="314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07_BACKSHEET</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1.921</w:t>
            </w:r>
          </w:p>
        </w:tc>
        <w:tc>
          <w:tcPr>
            <w:tcW w:type="dxa" w:w="209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710,007</w:t>
            </w:r>
          </w:p>
        </w:tc>
      </w:tr>
      <w:tr>
        <w:trPr>
          <w:cantSplit/>
          <w:tblHeader w:val="false"/>
        </w:trPr>
        <w:tc>
          <w:tcPr>
            <w:tcW w:type="dxa" w:w="314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08_SEALS</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0.611</w:t>
            </w:r>
          </w:p>
        </w:tc>
        <w:tc>
          <w:tcPr>
            <w:tcW w:type="dxa" w:w="209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530,948</w:t>
            </w:r>
          </w:p>
        </w:tc>
      </w:tr>
      <w:tr>
        <w:trPr>
          <w:cantSplit/>
          <w:tblHeader w:val="false"/>
        </w:trPr>
        <w:tc>
          <w:tcPr>
            <w:tcW w:type="dxa" w:w="314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09_SENSING</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0.030</w:t>
            </w:r>
          </w:p>
        </w:tc>
        <w:tc>
          <w:tcPr>
            <w:tcW w:type="dxa" w:w="209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21,712</w:t>
            </w:r>
          </w:p>
        </w:tc>
      </w:tr>
      <w:tr>
        <w:trPr>
          <w:cantSplit/>
          <w:tblHeader w:val="false"/>
        </w:trPr>
        <w:tc>
          <w:tcPr>
            <w:tcW w:type="dxa" w:w="314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10_MOUNTING</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6.378</w:t>
            </w:r>
          </w:p>
        </w:tc>
        <w:tc>
          <w:tcPr>
            <w:tcW w:type="dxa" w:w="209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2,362,358</w:t>
            </w:r>
          </w:p>
        </w:tc>
      </w:tr>
      <w:tr>
        <w:trPr>
          <w:cantSplit/>
          <w:tblHeader w:val="false"/>
        </w:trPr>
        <w:tc>
          <w:tcPr>
            <w:tcW w:type="dxa" w:w="314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90_CFD_REFERENCE</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7.491</w:t>
            </w:r>
          </w:p>
        </w:tc>
        <w:tc>
          <w:tcPr>
            <w:tcW w:type="dxa" w:w="209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3,046,916</w:t>
            </w:r>
          </w:p>
        </w:tc>
      </w:tr>
      <w:tr>
        <w:trPr>
          <w:cantSplit/>
          <w:tblHeader w:val="false"/>
        </w:trPr>
        <w:tc>
          <w:tcPr>
            <w:tcW w:type="dxa" w:w="314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90_CFD_STRIP_2CH_PERIODIC</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1.767</w:t>
            </w:r>
          </w:p>
        </w:tc>
        <w:tc>
          <w:tcPr>
            <w:tcW w:type="dxa" w:w="209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225,105</w:t>
            </w:r>
          </w:p>
        </w:tc>
      </w:tr>
      <w:tr>
        <w:trPr>
          <w:cantSplit/>
          <w:tblHeader w:val="false"/>
        </w:trPr>
        <w:tc>
          <w:tcPr>
            <w:tcW w:type="dxa" w:w="314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90_CFD_STRIP_3CH_MASTER</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15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2.650</w:t>
            </w:r>
          </w:p>
        </w:tc>
        <w:tc>
          <w:tcPr>
            <w:tcW w:type="dxa" w:w="209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337,626</w:t>
            </w:r>
          </w:p>
        </w:tc>
      </w:tr>
      <w:tr>
        <w:trPr>
          <w:cantSplit/>
          <w:tblHeader w:val="false"/>
        </w:trPr>
        <w:tc>
          <w:tcPr>
            <w:tcW w:type="dxa" w:w="314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TOTAL</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145</w:t>
            </w:r>
          </w:p>
        </w:tc>
        <w:tc>
          <w:tcPr>
            <w:tcW w:type="dxa" w:w="15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55.810</w:t>
            </w:r>
          </w:p>
        </w:tc>
        <w:tc>
          <w:tcPr>
            <w:tcW w:type="dxa" w:w="209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r>
    </w:tbl>
    <w:p>
      <w:pPr>
        <w:keepNext/>
        <w:spacing w:after="60" w:before="120"/>
      </w:pPr>
      <w:r>
        <w:rPr>
          <w:i/>
          <w:iCs/>
          <w:color w:val="4A4D52"/>
          <w:sz w:val="17"/>
          <w:szCs w:val="17"/>
        </w:rPr>
        <w:t xml:space="preserve">Table 3.5. Assembly groups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5421"/>
        <w:gridCol w:w="1807"/>
        <w:gridCol w:w="2410"/>
      </w:tblGrid>
      <w:tr>
        <w:trPr>
          <w:cantSplit/>
          <w:tblHeader/>
        </w:trPr>
        <w:tc>
          <w:tcPr>
            <w:tcW w:type="dxa" w:w="542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Material</w:t>
            </w:r>
          </w:p>
        </w:tc>
        <w:tc>
          <w:tcPr>
            <w:tcW w:type="dxa" w:w="180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Bodies</w:t>
            </w:r>
          </w:p>
        </w:tc>
        <w:tc>
          <w:tcPr>
            <w:tcW w:type="dxa" w:w="241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Mass (kg)</w:t>
            </w:r>
          </w:p>
        </w:tc>
      </w:tr>
      <w:tr>
        <w:trPr>
          <w:cantSplit/>
          <w:tblHeader w:val="false"/>
        </w:trPr>
        <w:tc>
          <w:tcPr>
            <w:tcW w:type="dxa" w:w="54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19</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17.385</w:t>
            </w:r>
          </w:p>
        </w:tc>
      </w:tr>
      <w:tr>
        <w:trPr>
          <w:cantSplit/>
          <w:tblHeader w:val="false"/>
        </w:trPr>
        <w:tc>
          <w:tcPr>
            <w:tcW w:type="dxa" w:w="54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24</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14.563</w:t>
            </w:r>
          </w:p>
        </w:tc>
      </w:tr>
      <w:tr>
        <w:trPr>
          <w:cantSplit/>
          <w:tblHeader w:val="false"/>
        </w:trPr>
        <w:tc>
          <w:tcPr>
            <w:tcW w:type="dxa" w:w="54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SolarGlass</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9.491</w:t>
            </w:r>
          </w:p>
        </w:tc>
      </w:tr>
      <w:tr>
        <w:trPr>
          <w:cantSplit/>
          <w:tblHeader w:val="false"/>
        </w:trPr>
        <w:tc>
          <w:tcPr>
            <w:tcW w:type="dxa" w:w="54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RT55_EG</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4.645</w:t>
            </w:r>
          </w:p>
        </w:tc>
      </w:tr>
      <w:tr>
        <w:trPr>
          <w:cantSplit/>
          <w:tblHeader w:val="false"/>
        </w:trPr>
        <w:tc>
          <w:tcPr>
            <w:tcW w:type="dxa" w:w="54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Steel</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4.417</w:t>
            </w:r>
          </w:p>
        </w:tc>
      </w:tr>
      <w:tr>
        <w:trPr>
          <w:cantSplit/>
          <w:tblHeader w:val="false"/>
        </w:trPr>
        <w:tc>
          <w:tcPr>
            <w:tcW w:type="dxa" w:w="54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VIP_silica</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2.090</w:t>
            </w:r>
          </w:p>
        </w:tc>
      </w:tr>
      <w:tr>
        <w:trPr>
          <w:cantSplit/>
          <w:tblHeader w:val="false"/>
        </w:trPr>
        <w:tc>
          <w:tcPr>
            <w:tcW w:type="dxa" w:w="54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0.877</w:t>
            </w:r>
          </w:p>
        </w:tc>
      </w:tr>
      <w:tr>
        <w:trPr>
          <w:cantSplit/>
          <w:tblHeader w:val="false"/>
        </w:trPr>
        <w:tc>
          <w:tcPr>
            <w:tcW w:type="dxa" w:w="54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PMMA_thermo</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0.780</w:t>
            </w:r>
          </w:p>
        </w:tc>
      </w:tr>
      <w:tr>
        <w:trPr>
          <w:cantSplit/>
          <w:tblHeader w:val="false"/>
        </w:trPr>
        <w:tc>
          <w:tcPr>
            <w:tcW w:type="dxa" w:w="54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EPDM</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0.611</w:t>
            </w:r>
          </w:p>
        </w:tc>
      </w:tr>
      <w:tr>
        <w:trPr>
          <w:cantSplit/>
          <w:tblHeader w:val="false"/>
        </w:trPr>
        <w:tc>
          <w:tcPr>
            <w:tcW w:type="dxa" w:w="54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PC_honeycomb</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0.456</w:t>
            </w:r>
          </w:p>
        </w:tc>
      </w:tr>
      <w:tr>
        <w:trPr>
          <w:cantSplit/>
          <w:tblHeader w:val="false"/>
        </w:trPr>
        <w:tc>
          <w:tcPr>
            <w:tcW w:type="dxa" w:w="54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Graphite</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0.232</w:t>
            </w:r>
          </w:p>
        </w:tc>
      </w:tr>
      <w:tr>
        <w:trPr>
          <w:cantSplit/>
          <w:tblHeader w:val="false"/>
        </w:trPr>
        <w:tc>
          <w:tcPr>
            <w:tcW w:type="dxa" w:w="54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Aerogel</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0.119</w:t>
            </w:r>
          </w:p>
        </w:tc>
      </w:tr>
      <w:tr>
        <w:trPr>
          <w:cantSplit/>
          <w:tblHeader w:val="false"/>
        </w:trPr>
        <w:tc>
          <w:tcPr>
            <w:tcW w:type="dxa" w:w="54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44</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0.106</w:t>
            </w:r>
          </w:p>
        </w:tc>
      </w:tr>
      <w:tr>
        <w:trPr>
          <w:cantSplit/>
          <w:tblHeader w:val="false"/>
        </w:trPr>
        <w:tc>
          <w:tcPr>
            <w:tcW w:type="dxa" w:w="54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Electronics</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0.030</w:t>
            </w:r>
          </w:p>
        </w:tc>
      </w:tr>
      <w:tr>
        <w:trPr>
          <w:cantSplit/>
          <w:tblHeader w:val="false"/>
        </w:trPr>
        <w:tc>
          <w:tcPr>
            <w:tcW w:type="dxa" w:w="54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Air</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0.007</w:t>
            </w:r>
          </w:p>
        </w:tc>
      </w:tr>
      <w:tr>
        <w:trPr>
          <w:cantSplit/>
          <w:tblHeader w:val="false"/>
        </w:trPr>
        <w:tc>
          <w:tcPr>
            <w:tcW w:type="dxa" w:w="54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TiNOX</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w:t>
            </w:r>
          </w:p>
        </w:tc>
      </w:tr>
    </w:tbl>
    <w:p>
      <w:pPr>
        <w:keepNext/>
        <w:spacing w:after="60" w:before="120"/>
      </w:pPr>
      <w:r>
        <w:rPr>
          <w:i/>
          <w:iCs/>
          <w:color w:val="4A4D52"/>
          <w:sz w:val="17"/>
          <w:szCs w:val="17"/>
        </w:rPr>
        <w:t xml:space="preserve">Table 3.6. Materials in the CAD assembly</w:t>
      </w:r>
    </w:p>
    <w:p>
      <w:pPr>
        <w:pStyle w:val="Heading1"/>
        <w:pageBreakBefore/>
        <w:spacing w:after="160" w:before="0"/>
      </w:pPr>
      <w:r>
        <w:t xml:space="preserve">4. Three-dimensional CFD</w:t>
      </w:r>
    </w:p>
    <w:p>
      <w:pPr>
        <w:pStyle w:val="Heading2"/>
        <w:keepNext/>
        <w:spacing w:after="120" w:before="280"/>
      </w:pPr>
      <w:r>
        <w:t xml:space="preserve">4.1 Solver and set-up</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313"/>
        <w:gridCol w:w="7325"/>
      </w:tblGrid>
      <w:tr>
        <w:trPr>
          <w:cantSplit/>
          <w:tblHeader/>
        </w:trPr>
        <w:tc>
          <w:tcPr>
            <w:tcW w:type="dxa" w:w="231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c>
          <w:tcPr>
            <w:tcW w:type="dxa" w:w="732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Setting</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Software</w:t>
            </w:r>
          </w:p>
        </w:tc>
        <w:tc>
          <w:tcPr>
            <w:tcW w:type="dxa" w:w="732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OpenFOAM v1912</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Flow</w:t>
            </w:r>
          </w:p>
        </w:tc>
        <w:tc>
          <w:tcPr>
            <w:tcW w:type="dxa" w:w="732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simpleFoam, steady laminar, constant properties</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Heat transfer</w:t>
            </w:r>
          </w:p>
        </w:tc>
        <w:tc>
          <w:tcPr>
            <w:tcW w:type="dxa" w:w="732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chtMultiRegionSimpleFoam with frozenFlow (flow held fixed, energy solved in fluid and solid)</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Domain</w:t>
            </w:r>
          </w:p>
        </w:tc>
        <w:tc>
          <w:tcPr>
            <w:tcW w:type="dxa" w:w="732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2-channel periodic strip, 1100 × 80 mm, cut from the CAD plate; translational cyclic sides</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Mesh</w:t>
            </w:r>
          </w:p>
        </w:tc>
        <w:tc>
          <w:tcPr>
            <w:tcW w:type="dxa" w:w="732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Structured hexahedra built from the CAD surfaces; axial NX 60/120/240, cross-section NU 48/64/96</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Inlet</w:t>
            </w:r>
          </w:p>
        </w:tc>
        <w:tc>
          <w:tcPr>
            <w:tcW w:type="dxa" w:w="732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300 K, uniform velocity; 2.077072 × 10⁻⁴ kg/s per channel</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Top boundary</w:t>
            </w:r>
          </w:p>
        </w:tc>
        <w:tc>
          <w:tcPr>
            <w:tcW w:type="dxa" w:w="732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q″ − U_top (T − T_amb) per plan area; q″ = 519.1256 W/m², U_top = 4.191176 W/m²K (benchmark ENGINEERING_ASSUMPTION)</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Rear boundary</w:t>
            </w:r>
          </w:p>
        </w:tc>
        <w:tc>
          <w:tcPr>
            <w:tcW w:type="dxa" w:w="732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h_rear (T − T_amb), 3.0 W/m²K; T_amb = 298.15 K</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Solid</w:t>
            </w:r>
          </w:p>
        </w:tc>
        <w:tc>
          <w:tcPr>
            <w:tcW w:type="dxa" w:w="732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 k = 229 W/m·K</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Convergence</w:t>
            </w:r>
          </w:p>
        </w:tc>
        <w:tc>
          <w:tcPr>
            <w:tcW w:type="dxa" w:w="732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All reported quantities change ≤ 2 × 10⁻⁶ over the last 2000 iterations; energy balance 0.005 % (co-current), 0.035 % (alternating)</w:t>
            </w:r>
          </w:p>
        </w:tc>
      </w:tr>
    </w:tbl>
    <w:p>
      <w:pPr>
        <w:pStyle w:val="Heading2"/>
        <w:keepNext/>
        <w:spacing w:after="120" w:before="280"/>
      </w:pPr>
      <w:r>
        <w:t xml:space="preserve">4.2 Problems found and fixed</w:t>
      </w:r>
    </w:p>
    <w:p>
      <w:pPr>
        <w:pStyle w:val="ListParagraph"/>
        <w:numPr>
          <w:ilvl w:val="0"/>
          <w:numId w:val="2"/>
        </w:numPr>
        <w:spacing w:after="80" w:before="0" w:line="276" w:lineRule="auto"/>
      </w:pPr>
      <w:r>
        <w:t xml:space="preserve">The buoyant p_rgh solver diverged on the thin O-grid cells. Repair: solve the flow with simpleFoam, then the conjugate energy equation with frozenFlow — the same steady solution, verified (zero pressure/momentum solves, flux unchanged to 1.5 × 10⁻⁸).</w:t>
      </w:r>
    </w:p>
    <w:p>
      <w:pPr>
        <w:pStyle w:val="ListParagraph"/>
        <w:numPr>
          <w:ilvl w:val="0"/>
          <w:numId w:val="2"/>
        </w:numPr>
        <w:spacing w:after="80" w:before="0" w:line="276" w:lineRule="auto"/>
      </w:pPr>
      <w:r>
        <w:t xml:space="preserve">Solar input had been applied per curved area (+12.2 %); corrected to plan area.</w:t>
      </w:r>
    </w:p>
    <w:p>
      <w:pPr>
        <w:pStyle w:val="ListParagraph"/>
        <w:numPr>
          <w:ilvl w:val="0"/>
          <w:numId w:val="2"/>
        </w:numPr>
        <w:spacing w:after="80" w:before="0" w:line="276" w:lineRule="auto"/>
      </w:pPr>
      <w:r>
        <w:t xml:space="preserve">The meshed inlet carries 0.30 % less flow than nominal; the reduced-order model is run at the 3-D flow for comparison.</w:t>
      </w:r>
    </w:p>
    <w:p>
      <w:pPr>
        <w:pStyle w:val="ListParagraph"/>
        <w:numPr>
          <w:ilvl w:val="0"/>
          <w:numId w:val="2"/>
        </w:numPr>
        <w:spacing w:after="80" w:before="0" w:line="276" w:lineRule="auto"/>
      </w:pPr>
      <w:r>
        <w:t xml:space="preserve">The earlier Nusselt number 2.92 came from a fluid-only case with heat flux uniform around the perimeter (H2). The real aluminium wall is nearly isothermal around the perimeter (H1). Corrected closure: 4.48.</w:t>
      </w:r>
    </w:p>
    <w:p>
      <w:pPr>
        <w:pStyle w:val="Heading2"/>
        <w:keepNext/>
        <w:spacing w:after="120" w:before="280"/>
      </w:pPr>
      <w:r>
        <w:t xml:space="preserve">4.3 Grid study — axial and cross-section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606"/>
        <w:gridCol w:w="1147"/>
        <w:gridCol w:w="1147"/>
        <w:gridCol w:w="1147"/>
        <w:gridCol w:w="1147"/>
        <w:gridCol w:w="1147"/>
        <w:gridCol w:w="1147"/>
        <w:gridCol w:w="1150"/>
      </w:tblGrid>
      <w:tr>
        <w:trPr>
          <w:cantSplit/>
          <w:tblHeader/>
        </w:trPr>
        <w:tc>
          <w:tcPr>
            <w:tcW w:type="dxa" w:w="160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grid</w:t>
            </w:r>
          </w:p>
        </w:tc>
        <w:tc>
          <w:tcPr>
            <w:tcW w:type="dxa" w:w="11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eta_co</w:t>
            </w:r>
          </w:p>
        </w:tc>
        <w:tc>
          <w:tcPr>
            <w:tcW w:type="dxa" w:w="11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eta_alt</w:t>
            </w:r>
          </w:p>
        </w:tc>
        <w:tc>
          <w:tcPr>
            <w:tcW w:type="dxa" w:w="11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std_co_K</w:t>
            </w:r>
          </w:p>
        </w:tc>
        <w:tc>
          <w:tcPr>
            <w:tcW w:type="dxa" w:w="11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std_alt_K</w:t>
            </w:r>
          </w:p>
        </w:tc>
        <w:tc>
          <w:tcPr>
            <w:tcW w:type="dxa" w:w="11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d_eta_pct</w:t>
            </w:r>
          </w:p>
        </w:tc>
        <w:tc>
          <w:tcPr>
            <w:tcW w:type="dxa" w:w="11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d_std_pct</w:t>
            </w:r>
          </w:p>
        </w:tc>
        <w:tc>
          <w:tcPr>
            <w:tcW w:type="dxa" w:w="115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d_spread_pct
</w:t>
            </w:r>
          </w:p>
        </w:tc>
      </w:tr>
      <w:tr>
        <w:trPr>
          <w:cantSplit/>
          <w:tblHeader w:val="false"/>
        </w:trPr>
        <w:tc>
          <w:tcPr>
            <w:tcW w:type="dxa" w:w="16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NX60_NU64</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0.51484</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0.42212</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5.7713</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5.2543</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-18.01</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-8.96</w:t>
            </w:r>
          </w:p>
        </w:tc>
        <w:tc>
          <w:tcPr>
            <w:tcW w:type="dxa" w:w="11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-2.52
</w:t>
            </w:r>
          </w:p>
        </w:tc>
      </w:tr>
      <w:tr>
        <w:trPr>
          <w:cantSplit/>
          <w:tblHeader w:val="false"/>
        </w:trPr>
        <w:tc>
          <w:tcPr>
            <w:tcW w:type="dxa" w:w="16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NX120_NU64</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0.51597</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0.41817</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5.7907</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5.5083</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-18.95</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-4.88</w:t>
            </w:r>
          </w:p>
        </w:tc>
        <w:tc>
          <w:tcPr>
            <w:tcW w:type="dxa" w:w="11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
</w:t>
            </w:r>
          </w:p>
        </w:tc>
      </w:tr>
      <w:tr>
        <w:trPr>
          <w:cantSplit/>
          <w:tblHeader w:val="false"/>
        </w:trPr>
        <w:tc>
          <w:tcPr>
            <w:tcW w:type="dxa" w:w="16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NX240_NU64</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0.51594</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0.4184</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5.7842</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5.4737</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-18.91</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-5.37</w:t>
            </w:r>
          </w:p>
        </w:tc>
        <w:tc>
          <w:tcPr>
            <w:tcW w:type="dxa" w:w="11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3.07
</w:t>
            </w:r>
          </w:p>
        </w:tc>
      </w:tr>
      <w:tr>
        <w:trPr>
          <w:cantSplit/>
          <w:tblHeader w:val="false"/>
        </w:trPr>
        <w:tc>
          <w:tcPr>
            <w:tcW w:type="dxa" w:w="16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NX120_NU48</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0.51605</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0.41786</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5.7921</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5.5263</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-19.03</w:t>
            </w:r>
          </w:p>
        </w:tc>
        <w:tc>
          <w:tcPr>
            <w:tcW w:type="dxa" w:w="11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-4.59</w:t>
            </w:r>
          </w:p>
        </w:tc>
        <w:tc>
          <w:tcPr>
            <w:tcW w:type="dxa" w:w="11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3.42
</w:t>
            </w:r>
          </w:p>
        </w:tc>
      </w:tr>
      <w:tr>
        <w:trPr>
          <w:cantSplit/>
          <w:tblHeader w:val="false"/>
        </w:trPr>
        <w:tc>
          <w:tcPr>
            <w:tcW w:type="dxa" w:w="16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NX120_NU96</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0.51586</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0.41849</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5.7888</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5.481</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-18.88</w:t>
            </w:r>
          </w:p>
        </w:tc>
        <w:tc>
          <w:tcPr>
            <w:tcW w:type="dxa" w:w="11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-5.32</w:t>
            </w:r>
          </w:p>
        </w:tc>
        <w:tc>
          <w:tcPr>
            <w:tcW w:type="dxa" w:w="11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w:t>
            </w:r>
          </w:p>
        </w:tc>
      </w:tr>
    </w:tbl>
    <w:p>
      <w:pPr>
        <w:keepNext/>
        <w:spacing w:after="60" w:before="120"/>
      </w:pPr>
      <w:r>
        <w:rPr>
          <w:i/>
          <w:iCs/>
          <w:color w:val="4A4D52"/>
          <w:sz w:val="17"/>
          <w:szCs w:val="17"/>
        </w:rPr>
        <w:t xml:space="preserve">Table 4.1. 3-D conjugate grid study (η, plate std, differences alternating vs co-current)</w:t>
      </w:r>
    </w:p>
    <w:p>
      <w:pPr>
        <w:spacing w:after="40" w:before="160"/>
        <w:jc w:val="center"/>
      </w:pPr>
      <w:r>
        <w:drawing>
          <wp:inline distT="0" distB="0" distL="0" distR="0">
            <wp:extent cx="52101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2085975"/>
                    </a:xfrm>
                    <a:prstGeom prst="rect">
                      <a:avLst/>
                    </a:prstGeom>
                  </pic:spPr>
                </pic:pic>
              </a:graphicData>
            </a:graphic>
          </wp:inline>
        </w:drawing>
      </w:r>
    </w:p>
    <w:p>
      <w:pPr>
        <w:spacing w:after="240" w:before="60"/>
        <w:jc w:val="center"/>
      </w:pPr>
      <w:r>
        <w:rPr>
          <w:i/>
          <w:iCs/>
          <w:color w:val="4A4D52"/>
          <w:sz w:val="17"/>
          <w:szCs w:val="17"/>
        </w:rPr>
        <w:t xml:space="preserve">Figure 4.1. 3-D axial grid study</w:t>
      </w:r>
    </w:p>
    <w:p>
      <w:pPr>
        <w:pStyle w:val="Heading2"/>
        <w:keepNext/>
        <w:spacing w:after="120" w:before="280"/>
      </w:pPr>
      <w:r>
        <w:t xml:space="preserve">4.4 Nusselt closure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337"/>
        <w:gridCol w:w="2410"/>
        <w:gridCol w:w="2891"/>
      </w:tblGrid>
      <w:tr>
        <w:trPr>
          <w:cantSplit/>
          <w:tblHeader/>
        </w:trPr>
        <w:tc>
          <w:tcPr>
            <w:tcW w:type="dxa" w:w="433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level</w:t>
            </w:r>
          </w:p>
        </w:tc>
        <w:tc>
          <w:tcPr>
            <w:tcW w:type="dxa" w:w="241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fluid_cells</w:t>
            </w:r>
          </w:p>
        </w:tc>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Nu_developed_mean
</w:t>
            </w:r>
          </w:p>
        </w:tc>
      </w:tr>
      <w:tr>
        <w:trPr>
          <w:cantSplit/>
          <w:tblHeader w:val="false"/>
        </w:trPr>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NU48</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80640</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4.6455
</w:t>
            </w:r>
          </w:p>
        </w:tc>
      </w:tr>
      <w:tr>
        <w:trPr>
          <w:cantSplit/>
          <w:tblHeader w:val="false"/>
        </w:trPr>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NU64</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138240</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4.6022
</w:t>
            </w:r>
          </w:p>
        </w:tc>
      </w:tr>
      <w:tr>
        <w:trPr>
          <w:cantSplit/>
          <w:tblHeader w:val="false"/>
        </w:trPr>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NU96</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322560</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4.5557
</w:t>
            </w:r>
          </w:p>
        </w:tc>
      </w:tr>
      <w:tr>
        <w:trPr>
          <w:cantSplit/>
          <w:tblHeader w:val="false"/>
        </w:trPr>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extrapolated (p=1.12, GCI 2.1%)</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4.48
</w:t>
            </w:r>
          </w:p>
        </w:tc>
      </w:tr>
      <w:tr>
        <w:trPr>
          <w:cantSplit/>
          <w:tblHeader w:val="false"/>
        </w:trPr>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H1 reference semicircular duct</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4.088
</w:t>
            </w:r>
          </w:p>
        </w:tc>
      </w:tr>
      <w:tr>
        <w:trPr>
          <w:cantSplit/>
          <w:tblHeader w:val="false"/>
        </w:trPr>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campaign Rev1-3 (superseded)</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2.9238</w:t>
            </w:r>
          </w:p>
        </w:tc>
      </w:tr>
    </w:tbl>
    <w:p>
      <w:pPr>
        <w:keepNext/>
        <w:spacing w:after="60" w:before="120"/>
      </w:pPr>
      <w:r>
        <w:rPr>
          <w:i/>
          <w:iCs/>
          <w:color w:val="4A4D52"/>
          <w:sz w:val="17"/>
          <w:szCs w:val="17"/>
        </w:rPr>
        <w:t xml:space="preserve">Table 4.2. Developed Nusselt number: grid levels, extrapolation, references</w:t>
      </w:r>
    </w:p>
    <w:p>
      <w:pPr>
        <w:spacing w:after="120" w:before="0" w:line="276" w:lineRule="auto"/>
        <w:jc w:val="both"/>
      </w:pPr>
      <w:r>
        <w:t xml:space="preserve">The developed Nu is flow-independent (4.60 at 1.0, 2.49 and 4.5 g/s) and axially converged (4.592 / 4.602 / 4.602). Reference: H1 semicircular duct 4.088 (Erdoğan &amp; Imrak 2005; Shah &amp; London table in Hesselgreaves 2001). The conjugate value lies above H1 because the section is not an exact semicircle and the wall has finite conduction.</w:t>
      </w:r>
    </w:p>
    <w:p>
      <w:pPr>
        <w:spacing w:after="40" w:before="160"/>
        <w:jc w:val="center"/>
      </w:pPr>
      <w:r>
        <w:drawing>
          <wp:inline distT="0" distB="0" distL="0" distR="0">
            <wp:extent cx="52101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0175" cy="3257550"/>
                    </a:xfrm>
                    <a:prstGeom prst="rect">
                      <a:avLst/>
                    </a:prstGeom>
                  </pic:spPr>
                </pic:pic>
              </a:graphicData>
            </a:graphic>
          </wp:inline>
        </w:drawing>
      </w:r>
    </w:p>
    <w:p>
      <w:pPr>
        <w:spacing w:after="240" w:before="60"/>
        <w:jc w:val="center"/>
      </w:pPr>
      <w:r>
        <w:rPr>
          <w:i/>
          <w:iCs/>
          <w:color w:val="4A4D52"/>
          <w:sz w:val="17"/>
          <w:szCs w:val="17"/>
        </w:rPr>
        <w:t xml:space="preserve">Figure 4.2. Cross-section grid study of Nu</w:t>
      </w:r>
    </w:p>
    <w:p>
      <w:pPr>
        <w:spacing w:after="40" w:before="160"/>
        <w:jc w:val="center"/>
      </w:pPr>
      <w:r>
        <w:drawing>
          <wp:inline distT="0" distB="0" distL="0" distR="0">
            <wp:extent cx="521017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0175" cy="1981200"/>
                    </a:xfrm>
                    <a:prstGeom prst="rect">
                      <a:avLst/>
                    </a:prstGeom>
                  </pic:spPr>
                </pic:pic>
              </a:graphicData>
            </a:graphic>
          </wp:inline>
        </w:drawing>
      </w:r>
    </w:p>
    <w:p>
      <w:pPr>
        <w:spacing w:after="240" w:before="60"/>
        <w:jc w:val="center"/>
      </w:pPr>
      <w:r>
        <w:rPr>
          <w:i/>
          <w:iCs/>
          <w:color w:val="4A4D52"/>
          <w:sz w:val="17"/>
          <w:szCs w:val="17"/>
        </w:rPr>
        <w:t xml:space="preserve">Figure 4.3. Local Nu along the channel</w:t>
      </w:r>
    </w:p>
    <w:p>
      <w:pPr>
        <w:spacing w:after="40" w:before="160"/>
        <w:jc w:val="center"/>
      </w:pPr>
      <w:r>
        <w:drawing>
          <wp:inline distT="0" distB="0" distL="0" distR="0">
            <wp:extent cx="521017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0175" cy="3095625"/>
                    </a:xfrm>
                    <a:prstGeom prst="rect">
                      <a:avLst/>
                    </a:prstGeom>
                  </pic:spPr>
                </pic:pic>
              </a:graphicData>
            </a:graphic>
          </wp:inline>
        </w:drawing>
      </w:r>
    </w:p>
    <w:p>
      <w:pPr>
        <w:spacing w:after="240" w:before="60"/>
        <w:jc w:val="center"/>
      </w:pPr>
      <w:r>
        <w:rPr>
          <w:i/>
          <w:iCs/>
          <w:color w:val="4A4D52"/>
          <w:sz w:val="17"/>
          <w:szCs w:val="17"/>
        </w:rPr>
        <w:t xml:space="preserve">Figure 4.4. Nu envelope over the flow range</w:t>
      </w:r>
    </w:p>
    <w:p>
      <w:pPr>
        <w:spacing w:after="40" w:before="160"/>
        <w:jc w:val="center"/>
      </w:pPr>
      <w:r>
        <w:drawing>
          <wp:inline distT="0" distB="0" distL="0" distR="0">
            <wp:extent cx="58197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9775" cy="3257550"/>
                    </a:xfrm>
                    <a:prstGeom prst="rect">
                      <a:avLst/>
                    </a:prstGeom>
                  </pic:spPr>
                </pic:pic>
              </a:graphicData>
            </a:graphic>
          </wp:inline>
        </w:drawing>
      </w:r>
    </w:p>
    <w:p>
      <w:pPr>
        <w:spacing w:after="240" w:before="60"/>
        <w:jc w:val="center"/>
      </w:pPr>
      <w:r>
        <w:rPr>
          <w:i/>
          <w:iCs/>
          <w:color w:val="4A4D52"/>
          <w:sz w:val="17"/>
          <w:szCs w:val="17"/>
        </w:rPr>
        <w:t xml:space="preserve">Figure 4.5. 3-D plate temperature maps, co-current and alternating</w:t>
      </w:r>
    </w:p>
    <w:p>
      <w:pPr>
        <w:pStyle w:val="Heading2"/>
        <w:keepNext/>
        <w:spacing w:after="120" w:before="280"/>
      </w:pPr>
      <w:r>
        <w:t xml:space="preserve">4.5 Mesh and computational domain</w:t>
      </w:r>
    </w:p>
    <w:p>
      <w:pPr>
        <w:spacing w:after="120" w:before="0" w:line="276" w:lineRule="auto"/>
        <w:jc w:val="both"/>
      </w:pPr>
      <w:r>
        <w:t xml:space="preserve">Meshes were generated directly from the CAD surfaces. The channel section is swept along the graded length so every cell follows the converging wall. These figures show geometry and mesh only and remain valid.</w:t>
      </w:r>
    </w:p>
    <w:p>
      <w:pPr>
        <w:spacing w:after="40" w:before="160"/>
        <w:jc w:val="center"/>
      </w:pPr>
      <w:r>
        <w:drawing>
          <wp:inline distT="0" distB="0" distL="0" distR="0">
            <wp:extent cx="52101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0175" cy="1819275"/>
                    </a:xfrm>
                    <a:prstGeom prst="rect">
                      <a:avLst/>
                    </a:prstGeom>
                  </pic:spPr>
                </pic:pic>
              </a:graphicData>
            </a:graphic>
          </wp:inline>
        </w:drawing>
      </w:r>
    </w:p>
    <w:p>
      <w:pPr>
        <w:spacing w:after="240" w:before="60"/>
        <w:jc w:val="center"/>
      </w:pPr>
      <w:r>
        <w:rPr>
          <w:i/>
          <w:iCs/>
          <w:color w:val="4A4D52"/>
          <w:sz w:val="17"/>
          <w:szCs w:val="17"/>
        </w:rPr>
        <w:t xml:space="preserve">Figure 4.6. Channel section mesh at the inlet</w:t>
      </w:r>
    </w:p>
    <w:p>
      <w:pPr>
        <w:spacing w:after="40" w:before="160"/>
        <w:jc w:val="center"/>
      </w:pPr>
      <w:r>
        <w:drawing>
          <wp:inline distT="0" distB="0" distL="0" distR="0">
            <wp:extent cx="52101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10175" cy="1819275"/>
                    </a:xfrm>
                    <a:prstGeom prst="rect">
                      <a:avLst/>
                    </a:prstGeom>
                  </pic:spPr>
                </pic:pic>
              </a:graphicData>
            </a:graphic>
          </wp:inline>
        </w:drawing>
      </w:r>
    </w:p>
    <w:p>
      <w:pPr>
        <w:spacing w:after="240" w:before="60"/>
        <w:jc w:val="center"/>
      </w:pPr>
      <w:r>
        <w:rPr>
          <w:i/>
          <w:iCs/>
          <w:color w:val="4A4D52"/>
          <w:sz w:val="17"/>
          <w:szCs w:val="17"/>
        </w:rPr>
        <w:t xml:space="preserve">Figure 4.7. Channel section mesh at the outlet</w:t>
      </w:r>
    </w:p>
    <w:p>
      <w:pPr>
        <w:spacing w:after="40" w:before="160"/>
        <w:jc w:val="center"/>
      </w:pPr>
      <w:r>
        <w:drawing>
          <wp:inline distT="0" distB="0" distL="0" distR="0">
            <wp:extent cx="5210175"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0175" cy="4305300"/>
                    </a:xfrm>
                    <a:prstGeom prst="rect">
                      <a:avLst/>
                    </a:prstGeom>
                  </pic:spPr>
                </pic:pic>
              </a:graphicData>
            </a:graphic>
          </wp:inline>
        </w:drawing>
      </w:r>
    </w:p>
    <w:p>
      <w:pPr>
        <w:spacing w:after="240" w:before="60"/>
        <w:jc w:val="center"/>
      </w:pPr>
      <w:r>
        <w:rPr>
          <w:i/>
          <w:iCs/>
          <w:color w:val="4A4D52"/>
          <w:sz w:val="17"/>
          <w:szCs w:val="17"/>
        </w:rPr>
        <w:t xml:space="preserve">Figure 4.8. Root-fillet detail of the section mesh</w:t>
      </w:r>
    </w:p>
    <w:p>
      <w:pPr>
        <w:spacing w:after="40" w:before="160"/>
        <w:jc w:val="center"/>
      </w:pPr>
      <w:r>
        <w:drawing>
          <wp:inline distT="0" distB="0" distL="0" distR="0">
            <wp:extent cx="521017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10175" cy="3000375"/>
                    </a:xfrm>
                    <a:prstGeom prst="rect">
                      <a:avLst/>
                    </a:prstGeom>
                  </pic:spPr>
                </pic:pic>
              </a:graphicData>
            </a:graphic>
          </wp:inline>
        </w:drawing>
      </w:r>
    </w:p>
    <w:p>
      <w:pPr>
        <w:spacing w:after="240" w:before="60"/>
        <w:jc w:val="center"/>
      </w:pPr>
      <w:r>
        <w:rPr>
          <w:i/>
          <w:iCs/>
          <w:color w:val="4A4D52"/>
          <w:sz w:val="17"/>
          <w:szCs w:val="17"/>
        </w:rPr>
        <w:t xml:space="preserve">Figure 4.9. Swept structured mesh along the graded channel</w:t>
      </w:r>
    </w:p>
    <w:p>
      <w:pPr>
        <w:spacing w:after="40" w:before="160"/>
        <w:jc w:val="center"/>
      </w:pPr>
      <w:r>
        <w:drawing>
          <wp:inline distT="0" distB="0" distL="0" distR="0">
            <wp:extent cx="5210175"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10175" cy="752475"/>
                    </a:xfrm>
                    <a:prstGeom prst="rect">
                      <a:avLst/>
                    </a:prstGeom>
                  </pic:spPr>
                </pic:pic>
              </a:graphicData>
            </a:graphic>
          </wp:inline>
        </w:drawing>
      </w:r>
    </w:p>
    <w:p>
      <w:pPr>
        <w:spacing w:after="240" w:before="60"/>
        <w:jc w:val="center"/>
      </w:pPr>
      <w:r>
        <w:rPr>
          <w:i/>
          <w:iCs/>
          <w:color w:val="4A4D52"/>
          <w:sz w:val="17"/>
          <w:szCs w:val="17"/>
        </w:rPr>
        <w:t xml:space="preserve">Figure 4.10. Multi-channel strip mesh</w:t>
      </w:r>
    </w:p>
    <w:p>
      <w:pPr>
        <w:spacing w:after="40" w:before="160"/>
        <w:jc w:val="center"/>
      </w:pPr>
      <w:r>
        <w:drawing>
          <wp:inline distT="0" distB="0" distL="0" distR="0">
            <wp:extent cx="521017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10175" cy="3486150"/>
                    </a:xfrm>
                    <a:prstGeom prst="rect">
                      <a:avLst/>
                    </a:prstGeom>
                  </pic:spPr>
                </pic:pic>
              </a:graphicData>
            </a:graphic>
          </wp:inline>
        </w:drawing>
      </w:r>
    </w:p>
    <w:p>
      <w:pPr>
        <w:spacing w:after="240" w:before="60"/>
        <w:jc w:val="center"/>
      </w:pPr>
      <w:r>
        <w:rPr>
          <w:i/>
          <w:iCs/>
          <w:color w:val="4A4D52"/>
          <w:sz w:val="17"/>
          <w:szCs w:val="17"/>
        </w:rPr>
        <w:t xml:space="preserve">Figure 4.11. Assembly surface mesh</w:t>
      </w:r>
    </w:p>
    <w:p>
      <w:pPr>
        <w:spacing w:after="40" w:before="160"/>
        <w:jc w:val="center"/>
      </w:pPr>
      <w:r>
        <w:drawing>
          <wp:inline distT="0" distB="0" distL="0" distR="0">
            <wp:extent cx="52101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10175" cy="3371850"/>
                    </a:xfrm>
                    <a:prstGeom prst="rect">
                      <a:avLst/>
                    </a:prstGeom>
                  </pic:spPr>
                </pic:pic>
              </a:graphicData>
            </a:graphic>
          </wp:inline>
        </w:drawing>
      </w:r>
    </w:p>
    <w:p>
      <w:pPr>
        <w:spacing w:after="240" w:before="60"/>
        <w:jc w:val="center"/>
      </w:pPr>
      <w:r>
        <w:rPr>
          <w:i/>
          <w:iCs/>
          <w:color w:val="4A4D52"/>
          <w:sz w:val="17"/>
          <w:szCs w:val="17"/>
        </w:rPr>
        <w:t xml:space="preserve">Figure 4.12. CFD domain located in the assembly</w:t>
      </w:r>
    </w:p>
    <w:p>
      <w:pPr>
        <w:spacing w:after="40" w:before="160"/>
        <w:jc w:val="center"/>
      </w:pPr>
      <w:r>
        <w:drawing>
          <wp:inline distT="0" distB="0" distL="0" distR="0">
            <wp:extent cx="521017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10175" cy="1781175"/>
                    </a:xfrm>
                    <a:prstGeom prst="rect">
                      <a:avLst/>
                    </a:prstGeom>
                  </pic:spPr>
                </pic:pic>
              </a:graphicData>
            </a:graphic>
          </wp:inline>
        </w:drawing>
      </w:r>
    </w:p>
    <w:p>
      <w:pPr>
        <w:spacing w:after="240" w:before="60"/>
        <w:jc w:val="center"/>
      </w:pPr>
      <w:r>
        <w:rPr>
          <w:i/>
          <w:iCs/>
          <w:color w:val="4A4D52"/>
          <w:sz w:val="17"/>
          <w:szCs w:val="17"/>
        </w:rPr>
        <w:t xml:space="preserve">Figure 4.13. Cut-away of the collector stack</w:t>
      </w:r>
    </w:p>
    <w:p>
      <w:pPr>
        <w:spacing w:after="40" w:before="160"/>
        <w:jc w:val="center"/>
      </w:pPr>
      <w:r>
        <w:drawing>
          <wp:inline distT="0" distB="0" distL="0" distR="0">
            <wp:extent cx="5210175"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10175" cy="1933575"/>
                    </a:xfrm>
                    <a:prstGeom prst="rect">
                      <a:avLst/>
                    </a:prstGeom>
                  </pic:spPr>
                </pic:pic>
              </a:graphicData>
            </a:graphic>
          </wp:inline>
        </w:drawing>
      </w:r>
    </w:p>
    <w:p>
      <w:pPr>
        <w:spacing w:after="240" w:before="60"/>
        <w:jc w:val="center"/>
      </w:pPr>
      <w:r>
        <w:rPr>
          <w:i/>
          <w:iCs/>
          <w:color w:val="4A4D52"/>
          <w:sz w:val="17"/>
          <w:szCs w:val="17"/>
        </w:rPr>
        <w:t xml:space="preserve">Figure 4.14. Inlet end of the absorber</w:t>
      </w:r>
    </w:p>
    <w:p>
      <w:pPr>
        <w:spacing w:after="40" w:before="160"/>
        <w:jc w:val="center"/>
      </w:pPr>
      <w:r>
        <w:drawing>
          <wp:inline distT="0" distB="0" distL="0" distR="0">
            <wp:extent cx="5210175"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10175" cy="1866900"/>
                    </a:xfrm>
                    <a:prstGeom prst="rect">
                      <a:avLst/>
                    </a:prstGeom>
                  </pic:spPr>
                </pic:pic>
              </a:graphicData>
            </a:graphic>
          </wp:inline>
        </w:drawing>
      </w:r>
    </w:p>
    <w:p>
      <w:pPr>
        <w:spacing w:after="240" w:before="60"/>
        <w:jc w:val="center"/>
      </w:pPr>
      <w:r>
        <w:rPr>
          <w:i/>
          <w:iCs/>
          <w:color w:val="4A4D52"/>
          <w:sz w:val="17"/>
          <w:szCs w:val="17"/>
        </w:rPr>
        <w:t xml:space="preserve">Figure 4.15. Full-plate mesh</w:t>
      </w:r>
    </w:p>
    <w:p>
      <w:pPr>
        <w:pStyle w:val="Heading2"/>
        <w:keepNext/>
        <w:spacing w:after="120" w:before="280"/>
      </w:pPr>
      <w:r>
        <w:t xml:space="preserve">4.6 Channel hydraulics (flow field)</w:t>
      </w:r>
    </w:p>
    <w:p>
      <w:pPr>
        <w:spacing w:after="120" w:before="0" w:line="276" w:lineRule="auto"/>
        <w:jc w:val="both"/>
      </w:pPr>
      <w:r>
        <w:t xml:space="preserve">The flow field does not depend on the thermal closure (constant properties), so the Rev 2 hydraulic results remain valid: laminar flow, pressure drop rising as the channel converges.</w:t>
      </w:r>
    </w:p>
    <w:p>
      <w:pPr>
        <w:spacing w:after="40" w:before="160"/>
        <w:jc w:val="center"/>
      </w:pPr>
      <w:r>
        <w:drawing>
          <wp:inline distT="0" distB="0" distL="0" distR="0">
            <wp:extent cx="521017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10175" cy="2162175"/>
                    </a:xfrm>
                    <a:prstGeom prst="rect">
                      <a:avLst/>
                    </a:prstGeom>
                  </pic:spPr>
                </pic:pic>
              </a:graphicData>
            </a:graphic>
          </wp:inline>
        </w:drawing>
      </w:r>
    </w:p>
    <w:p>
      <w:pPr>
        <w:spacing w:after="240" w:before="60"/>
        <w:jc w:val="center"/>
      </w:pPr>
      <w:r>
        <w:rPr>
          <w:i/>
          <w:iCs/>
          <w:color w:val="4A4D52"/>
          <w:sz w:val="17"/>
          <w:szCs w:val="17"/>
        </w:rPr>
        <w:t xml:space="preserve">Figure 4.16. Channel pressure drop against flow</w:t>
      </w:r>
    </w:p>
    <w:p>
      <w:pPr>
        <w:spacing w:after="40" w:before="160"/>
        <w:jc w:val="center"/>
      </w:pPr>
      <w:r>
        <w:drawing>
          <wp:inline distT="0" distB="0" distL="0" distR="0">
            <wp:extent cx="52101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10175" cy="3619500"/>
                    </a:xfrm>
                    <a:prstGeom prst="rect">
                      <a:avLst/>
                    </a:prstGeom>
                  </pic:spPr>
                </pic:pic>
              </a:graphicData>
            </a:graphic>
          </wp:inline>
        </w:drawing>
      </w:r>
    </w:p>
    <w:p>
      <w:pPr>
        <w:spacing w:after="240" w:before="60"/>
        <w:jc w:val="center"/>
      </w:pPr>
      <w:r>
        <w:rPr>
          <w:i/>
          <w:iCs/>
          <w:color w:val="4A4D52"/>
          <w:sz w:val="17"/>
          <w:szCs w:val="17"/>
        </w:rPr>
        <w:t xml:space="preserve">Figure 4.17. Reynolds number along the channel</w:t>
      </w:r>
    </w:p>
    <w:p>
      <w:pPr>
        <w:spacing w:after="40" w:before="160"/>
        <w:jc w:val="center"/>
      </w:pPr>
      <w:r>
        <w:drawing>
          <wp:inline distT="0" distB="0" distL="0" distR="0">
            <wp:extent cx="52101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10175" cy="1990725"/>
                    </a:xfrm>
                    <a:prstGeom prst="rect">
                      <a:avLst/>
                    </a:prstGeom>
                  </pic:spPr>
                </pic:pic>
              </a:graphicData>
            </a:graphic>
          </wp:inline>
        </w:drawing>
      </w:r>
    </w:p>
    <w:p>
      <w:pPr>
        <w:spacing w:after="240" w:before="60"/>
        <w:jc w:val="center"/>
      </w:pPr>
      <w:r>
        <w:rPr>
          <w:i/>
          <w:iCs/>
          <w:color w:val="4A4D52"/>
          <w:sz w:val="17"/>
          <w:szCs w:val="17"/>
        </w:rPr>
        <w:t xml:space="preserve">Figure 4.18. 3-D hydraulics summary</w:t>
      </w:r>
    </w:p>
    <w:p>
      <w:pPr>
        <w:spacing w:after="40" w:before="160"/>
        <w:jc w:val="center"/>
      </w:pPr>
      <w:r>
        <w:drawing>
          <wp:inline distT="0" distB="0" distL="0" distR="0">
            <wp:extent cx="521017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10175" cy="1152525"/>
                    </a:xfrm>
                    <a:prstGeom prst="rect">
                      <a:avLst/>
                    </a:prstGeom>
                  </pic:spPr>
                </pic:pic>
              </a:graphicData>
            </a:graphic>
          </wp:inline>
        </w:drawing>
      </w:r>
    </w:p>
    <w:p>
      <w:pPr>
        <w:spacing w:after="240" w:before="60"/>
        <w:jc w:val="center"/>
      </w:pPr>
      <w:r>
        <w:rPr>
          <w:i/>
          <w:iCs/>
          <w:color w:val="4A4D52"/>
          <w:sz w:val="17"/>
          <w:szCs w:val="17"/>
        </w:rPr>
        <w:t xml:space="preserve">Figure 4.19. Velocity in cross-sections along the channel</w:t>
      </w:r>
    </w:p>
    <w:p>
      <w:pPr>
        <w:pStyle w:val="Heading2"/>
        <w:keepNext/>
        <w:spacing w:after="120" w:before="280"/>
      </w:pPr>
      <w:r>
        <w:t xml:space="preserve">4.7 Converged 3-D conjugate solution (video frames)</w:t>
      </w:r>
    </w:p>
    <w:p>
      <w:pPr>
        <w:spacing w:after="40" w:before="160"/>
        <w:jc w:val="center"/>
      </w:pPr>
      <w:r>
        <w:drawing>
          <wp:inline distT="0" distB="0" distL="0" distR="0">
            <wp:extent cx="61245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3448050"/>
                    </a:xfrm>
                    <a:prstGeom prst="rect">
                      <a:avLst/>
                    </a:prstGeom>
                  </pic:spPr>
                </pic:pic>
              </a:graphicData>
            </a:graphic>
          </wp:inline>
        </w:drawing>
      </w:r>
    </w:p>
    <w:p>
      <w:pPr>
        <w:spacing w:after="240" w:before="60"/>
        <w:jc w:val="center"/>
      </w:pPr>
      <w:r>
        <w:rPr>
          <w:i/>
          <w:iCs/>
          <w:color w:val="4A4D52"/>
          <w:sz w:val="17"/>
          <w:szCs w:val="17"/>
        </w:rPr>
        <w:t xml:space="preserve">Figure 4.20. Converged rear-surface temperature, co-current vs alternating (NX 240, design flow)</w:t>
      </w:r>
    </w:p>
    <w:p>
      <w:pPr>
        <w:pStyle w:val="Heading1"/>
        <w:pageBreakBefore/>
        <w:spacing w:after="160" w:before="0"/>
      </w:pPr>
      <w:r>
        <w:t xml:space="preserve">5. Reduced-order conjugate model (GRAIL-CHT)</w:t>
      </w:r>
    </w:p>
    <w:p>
      <w:pPr>
        <w:pStyle w:val="Heading2"/>
        <w:keepNext/>
        <w:spacing w:after="120" w:before="280"/>
      </w:pPr>
      <w:r>
        <w:t xml:space="preserve">5.1 What it solves</w:t>
      </w:r>
    </w:p>
    <w:p>
      <w:pPr>
        <w:pStyle w:val="ListParagraph"/>
        <w:numPr>
          <w:ilvl w:val="0"/>
          <w:numId w:val="2"/>
        </w:numPr>
        <w:spacing w:after="80" w:before="0" w:line="276" w:lineRule="auto"/>
      </w:pPr>
      <w:r>
        <w:t xml:space="preserve">Plate: 2-D steady conduction in the aluminium sheets (upper + lower) on a 110 × 120 and 220 × 120 grid; the two grids are combined by Richardson extrapolation 2 f(220) − f(110).</w:t>
      </w:r>
    </w:p>
    <w:p>
      <w:pPr>
        <w:pStyle w:val="ListParagraph"/>
        <w:numPr>
          <w:ilvl w:val="0"/>
          <w:numId w:val="2"/>
        </w:numPr>
        <w:spacing w:after="80" w:before="0" w:line="276" w:lineRule="auto"/>
      </w:pPr>
      <w:r>
        <w:t xml:space="preserve">Channels: 1-D energy balance per channel, ṁ cp dT_f/dx = h P (T_wall − T_f), with h = Nu k / Dh, Nu = 4.48, k(T) of water.</w:t>
      </w:r>
    </w:p>
    <w:p>
      <w:pPr>
        <w:pStyle w:val="ListParagraph"/>
        <w:numPr>
          <w:ilvl w:val="0"/>
          <w:numId w:val="2"/>
        </w:numPr>
        <w:spacing w:after="80" w:before="0" w:line="276" w:lineRule="auto"/>
      </w:pPr>
      <w:r>
        <w:t xml:space="preserve">Top loss: plate → glazing by conduction through the TIM and gaps (series resistance) plus radiation σ(T_p⁴ − T_g⁴)/(1/ε_p + 1/ε_g − 1); glazing → ambient by wind convection and sky radiation ε_g σ(T_g⁴ − T_sky⁴). Glass temperature solved by Newton iteration at every cell. Temperatures in K.</w:t>
      </w:r>
    </w:p>
    <w:p>
      <w:pPr>
        <w:pStyle w:val="ListParagraph"/>
        <w:numPr>
          <w:ilvl w:val="0"/>
          <w:numId w:val="2"/>
        </w:numPr>
        <w:spacing w:after="80" w:before="0" w:line="276" w:lineRule="auto"/>
      </w:pPr>
      <w:r>
        <w:t xml:space="preserve">Rear loss: series resistance PCM + VIP + outer film, U_rear = 1/(t_pcm/k_pcm + t_vip/k_vip + 1/h_rear) = 0.272 W/m²K.</w:t>
      </w:r>
    </w:p>
    <w:p>
      <w:pPr>
        <w:pStyle w:val="ListParagraph"/>
        <w:numPr>
          <w:ilvl w:val="0"/>
          <w:numId w:val="2"/>
        </w:numPr>
        <w:spacing w:after="80" w:before="0" w:line="276" w:lineRule="auto"/>
      </w:pPr>
      <w:r>
        <w:t xml:space="preserve">Absorbed flux: q_abs = 0.6489 G_T (uniform).</w:t>
      </w:r>
    </w:p>
    <w:p>
      <w:pPr>
        <w:pStyle w:val="ListParagraph"/>
        <w:numPr>
          <w:ilvl w:val="0"/>
          <w:numId w:val="2"/>
        </w:numPr>
        <w:spacing w:after="80" w:before="0" w:line="276" w:lineRule="auto"/>
      </w:pPr>
      <w:r>
        <w:t xml:space="preserve">Pressure drop: laminar integral along the graded channel with a calibration factor from the 3-D CFD.</w:t>
      </w:r>
    </w:p>
    <w:p>
      <w:pPr>
        <w:pStyle w:val="ListParagraph"/>
        <w:numPr>
          <w:ilvl w:val="0"/>
          <w:numId w:val="2"/>
        </w:numPr>
        <w:spacing w:after="80" w:before="0" w:line="276" w:lineRule="auto"/>
      </w:pPr>
      <w:r>
        <w:t xml:space="preserve">Convergence: outer-iteration residual tolerance 1 × 10⁻⁶; acceptance |energy error| &lt; 0.5 % and 250 K &lt; T_plate &lt; 500 K.</w:t>
      </w:r>
    </w:p>
    <w:p>
      <w:pPr>
        <w:pStyle w:val="Heading2"/>
        <w:keepNext/>
        <w:spacing w:after="120" w:before="280"/>
      </w:pPr>
      <w:r>
        <w:t xml:space="preserve">5.2 Checks of the model</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855"/>
        <w:gridCol w:w="5783"/>
      </w:tblGrid>
      <w:tr>
        <w:trPr>
          <w:cantSplit/>
          <w:tblHeader/>
        </w:trPr>
        <w:tc>
          <w:tcPr>
            <w:tcW w:type="dxa" w:w="385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Check</w:t>
            </w:r>
          </w:p>
        </w:tc>
        <w:tc>
          <w:tcPr>
            <w:tcW w:type="dxa" w:w="578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Result</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GRAIL-CHT vs 3-D conjugate CFD, co-current</w:t>
            </w:r>
          </w:p>
        </w:tc>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η within 0.01 %, plate std within 0.6 %</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GRAIL-CHT vs 3-D, alternating</w:t>
            </w:r>
          </w:p>
        </w:tc>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Overstates the uniformity benefit by ≈ 2.0 points and understates the efficiency penalty by ≈ 0.5 points (local Nu undefined where heat flow reverses) — carried as uncertainty</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GRAIL-CHT with Nu 4.6 vs 3-D at NX 60</w:t>
            </w:r>
          </w:p>
        </w:tc>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η 0.2 %, std 0.5 %, arrangement difference 0.1 points</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Hottel-Whillier-Bliss (Duffie &amp; Beckman) vs GRAIL-CHT</w:t>
            </w:r>
          </w:p>
        </w:tc>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+0.22 % (co-current), U_L taken from the solver, not fitted</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Axial convergence of GRAIL-CHT</w:t>
            </w:r>
          </w:p>
        </w:tc>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Observed order p = 1.01; Richardson used</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Energy balance</w:t>
            </w:r>
          </w:p>
        </w:tc>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Every campaign case &lt; 0.5 %; measured range −0.00015 to +0.00014 %</w:t>
            </w:r>
          </w:p>
        </w:tc>
      </w:tr>
    </w:tbl>
    <w:p>
      <w:pPr>
        <w:spacing w:after="40" w:before="160"/>
        <w:jc w:val="center"/>
      </w:pPr>
      <w:r>
        <w:drawing>
          <wp:inline distT="0" distB="0" distL="0" distR="0">
            <wp:extent cx="52101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10175" cy="3257550"/>
                    </a:xfrm>
                    <a:prstGeom prst="rect">
                      <a:avLst/>
                    </a:prstGeom>
                  </pic:spPr>
                </pic:pic>
              </a:graphicData>
            </a:graphic>
          </wp:inline>
        </w:drawing>
      </w:r>
    </w:p>
    <w:p>
      <w:pPr>
        <w:spacing w:after="240" w:before="60"/>
        <w:jc w:val="center"/>
      </w:pPr>
      <w:r>
        <w:rPr>
          <w:i/>
          <w:iCs/>
          <w:color w:val="4A4D52"/>
          <w:sz w:val="17"/>
          <w:szCs w:val="17"/>
        </w:rPr>
        <w:t xml:space="preserve">Figure 5.1. GRAIL-CHT axial convergence against the 3-D result</w:t>
      </w:r>
    </w:p>
    <w:p>
      <w:pPr>
        <w:spacing w:after="40" w:before="160"/>
        <w:jc w:val="center"/>
      </w:pPr>
      <w:r>
        <w:drawing>
          <wp:inline distT="0" distB="0" distL="0" distR="0">
            <wp:extent cx="52101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10175" cy="2085975"/>
                    </a:xfrm>
                    <a:prstGeom prst="rect">
                      <a:avLst/>
                    </a:prstGeom>
                  </pic:spPr>
                </pic:pic>
              </a:graphicData>
            </a:graphic>
          </wp:inline>
        </w:drawing>
      </w:r>
    </w:p>
    <w:p>
      <w:pPr>
        <w:spacing w:after="240" w:before="60"/>
        <w:jc w:val="center"/>
      </w:pPr>
      <w:r>
        <w:rPr>
          <w:i/>
          <w:iCs/>
          <w:color w:val="4A4D52"/>
          <w:sz w:val="17"/>
          <w:szCs w:val="17"/>
        </w:rPr>
        <w:t xml:space="preserve">Figure 5.2. GRAIL-CHT vs 3-D CFD</w:t>
      </w:r>
    </w:p>
    <w:p>
      <w:pPr>
        <w:pStyle w:val="Heading1"/>
        <w:pageBreakBefore/>
        <w:spacing w:after="160" w:before="0"/>
      </w:pPr>
      <w:r>
        <w:t xml:space="preserve">6. Simulation campaign and dataset</w:t>
      </w:r>
    </w:p>
    <w:p>
      <w:pPr>
        <w:pStyle w:val="Heading2"/>
        <w:keepNext/>
        <w:spacing w:after="120" w:before="280"/>
      </w:pPr>
      <w:r>
        <w:t xml:space="preserve">6.1 Design of the campaign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3855"/>
        <w:gridCol w:w="2892"/>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Input</w:t>
            </w:r>
          </w:p>
        </w:tc>
        <w:tc>
          <w:tcPr>
            <w:tcW w:type="dxa" w:w="385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Range</w:t>
            </w:r>
          </w:p>
        </w:tc>
        <w:tc>
          <w:tcPr>
            <w:tcW w:type="dxa" w:w="289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Sampling</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Irradiance G_T</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400–1000 W/m²</w:t>
            </w:r>
          </w:p>
        </w:tc>
        <w:tc>
          <w:tcPr>
            <w:tcW w:type="dxa" w:w="28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Latin hypercube</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Inlet temperature T_in</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288–333 K</w:t>
            </w:r>
          </w:p>
        </w:tc>
        <w:tc>
          <w:tcPr>
            <w:tcW w:type="dxa" w:w="28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Latin hypercube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Ambient temperature T_amb</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283–313 K</w:t>
            </w:r>
          </w:p>
        </w:tc>
        <w:tc>
          <w:tcPr>
            <w:tcW w:type="dxa" w:w="28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Latin hypercube</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Wind speed</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 m/s</w:t>
            </w:r>
          </w:p>
        </w:tc>
        <w:tc>
          <w:tcPr>
            <w:tcW w:type="dxa" w:w="28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Latin hypercube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Total mass flow</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1.0–4.5 g/s (Re_in 22–151, laminar)</w:t>
            </w:r>
          </w:p>
        </w:tc>
        <w:tc>
          <w:tcPr>
            <w:tcW w:type="dxa" w:w="28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Latin hypercube</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Bridge width</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20–37 mm</w:t>
            </w:r>
          </w:p>
        </w:tc>
        <w:tc>
          <w:tcPr>
            <w:tcW w:type="dxa" w:w="28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Latin hypercube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Grading ratio G</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0.35–1.0</w:t>
            </w:r>
          </w:p>
        </w:tc>
        <w:tc>
          <w:tcPr>
            <w:tcW w:type="dxa" w:w="28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Latin hypercube</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Grading exponent λ</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0.5–2.0</w:t>
            </w:r>
          </w:p>
        </w:tc>
        <w:tc>
          <w:tcPr>
            <w:tcW w:type="dxa" w:w="28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Latin hypercube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Arrangement</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150 alternating + 150 parallel</w:t>
            </w:r>
          </w:p>
        </w:tc>
        <w:tc>
          <w:tcPr>
            <w:tcW w:type="dxa" w:w="28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Two independent draws (not paired)</w:t>
            </w:r>
          </w:p>
        </w:tc>
      </w:tr>
    </w:tbl>
    <w:p>
      <w:pPr>
        <w:spacing w:after="120" w:before="0" w:line="276" w:lineRule="auto"/>
        <w:jc w:val="both"/>
      </w:pPr>
      <w:r>
        <w:t xml:space="preserve">Acceptance gates: converged to 10⁻⁶, |energy error| &lt; 0.5 %, 250 K &lt; T_plate &lt; 500 K. Result: 300 / 300 accepted; no row deleted. The two groups are statistically identical in every input (Kolmogorov–Smirnov p = 1.00), so all comparisons are group-wise. ALT_n and PAR_n must never be paired.</w:t>
      </w:r>
    </w:p>
    <w:p>
      <w:pPr>
        <w:pStyle w:val="Heading2"/>
        <w:keepNext/>
        <w:spacing w:after="120" w:before="280"/>
      </w:pPr>
      <w:r>
        <w:t xml:space="preserve">6.2 Dataset summary (Rev 4.2, 300 rows, 59 columns)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909"/>
        <w:gridCol w:w="2576"/>
        <w:gridCol w:w="2576"/>
        <w:gridCol w:w="2577"/>
      </w:tblGrid>
      <w:tr>
        <w:trPr>
          <w:cantSplit/>
          <w:tblHeader/>
        </w:trPr>
        <w:tc>
          <w:tcPr>
            <w:tcW w:type="dxa" w:w="190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Column</w:t>
            </w:r>
          </w:p>
        </w:tc>
        <w:tc>
          <w:tcPr>
            <w:tcW w:type="dxa" w:w="257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All: min / mean / median / max</w:t>
            </w:r>
          </w:p>
        </w:tc>
        <w:tc>
          <w:tcPr>
            <w:tcW w:type="dxa" w:w="257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Alternating: min / mean / median / max</w:t>
            </w:r>
          </w:p>
        </w:tc>
        <w:tc>
          <w:tcPr>
            <w:tcW w:type="dxa" w:w="257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Parallel: min / mean / median / max</w:t>
            </w:r>
          </w:p>
        </w:tc>
      </w:tr>
      <w:tr>
        <w:trPr>
          <w:cantSplit/>
          <w:tblHeader w:val="false"/>
        </w:trPr>
        <w:tc>
          <w:tcPr>
            <w:tcW w:type="dxa" w:w="19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Irradiance G_T (W/m²)</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400.1 / 700.0 / 701.0 / 999.5</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400.1 / 700.0 / 700.0 / 998.9</w:t>
            </w:r>
          </w:p>
        </w:tc>
        <w:tc>
          <w:tcPr>
            <w:tcW w:type="dxa" w:w="25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403.4 / 700.1 / 701.1 / 999.5</w:t>
            </w:r>
          </w:p>
        </w:tc>
      </w:tr>
      <w:tr>
        <w:trPr>
          <w:cantSplit/>
          <w:tblHeader w:val="false"/>
        </w:trPr>
        <w:tc>
          <w:tcPr>
            <w:tcW w:type="dxa" w:w="19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Inlet T (K)</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288.09 / 310.51 / 310.44 / 332.98</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288.27 / 310.51 / 310.44 / 332.98</w:t>
            </w:r>
          </w:p>
        </w:tc>
        <w:tc>
          <w:tcPr>
            <w:tcW w:type="dxa" w:w="25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288.09 / 310.51 / 310.41 / 332.89</w:t>
            </w:r>
          </w:p>
        </w:tc>
      </w:tr>
      <w:tr>
        <w:trPr>
          <w:cantSplit/>
          <w:tblHeader w:val="false"/>
        </w:trPr>
        <w:tc>
          <w:tcPr>
            <w:tcW w:type="dxa" w:w="19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Ambient T (K)</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283.04 / 298.00 / 298.02 / 312.87</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283.04 / 298.00 / 298.01 / 312.83</w:t>
            </w:r>
          </w:p>
        </w:tc>
        <w:tc>
          <w:tcPr>
            <w:tcW w:type="dxa" w:w="25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283.04 / 298.00 / 298.02 / 312.87</w:t>
            </w:r>
          </w:p>
        </w:tc>
      </w:tr>
      <w:tr>
        <w:trPr>
          <w:cantSplit/>
          <w:tblHeader w:val="false"/>
        </w:trPr>
        <w:tc>
          <w:tcPr>
            <w:tcW w:type="dxa" w:w="19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Wind (m/s)</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 / 2.50 / 2.49 / 4.99</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0.02 / 2.50 / 2.49 / 4.99</w:t>
            </w:r>
          </w:p>
        </w:tc>
        <w:tc>
          <w:tcPr>
            <w:tcW w:type="dxa" w:w="25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 / 2.50 / 2.50 / 4.97</w:t>
            </w:r>
          </w:p>
        </w:tc>
      </w:tr>
      <w:tr>
        <w:trPr>
          <w:cantSplit/>
          <w:tblHeader w:val="false"/>
        </w:trPr>
        <w:tc>
          <w:tcPr>
            <w:tcW w:type="dxa" w:w="19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Total flow (kg/s)</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0.00101 / 0.00275 / 0.00274 / 0.00449</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0.00101 / 0.00275 / 0.00275 / 0.00449</w:t>
            </w:r>
          </w:p>
        </w:tc>
        <w:tc>
          <w:tcPr>
            <w:tcW w:type="dxa" w:w="25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0.00102 / 0.00275 / 0.00274 / 0.00448</w:t>
            </w:r>
          </w:p>
        </w:tc>
      </w:tr>
      <w:tr>
        <w:trPr>
          <w:cantSplit/>
          <w:tblHeader w:val="false"/>
        </w:trPr>
        <w:tc>
          <w:tcPr>
            <w:tcW w:type="dxa" w:w="19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Bridge (mm)</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20.02 / 28.50 / 28.51 / 36.99</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20.08 / 28.51 / 28.51 / 36.99</w:t>
            </w:r>
          </w:p>
        </w:tc>
        <w:tc>
          <w:tcPr>
            <w:tcW w:type="dxa" w:w="25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20.02 / 28.50 / 28.47 / 36.93</w:t>
            </w:r>
          </w:p>
        </w:tc>
      </w:tr>
      <w:tr>
        <w:trPr>
          <w:cantSplit/>
          <w:tblHeader w:val="false"/>
        </w:trPr>
        <w:tc>
          <w:tcPr>
            <w:tcW w:type="dxa" w:w="19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Grading ratio G</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0.351 / 0.675 / 0.674 / 0.998</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0.353 / 0.675 / 0.674 / 0.998</w:t>
            </w:r>
          </w:p>
        </w:tc>
        <w:tc>
          <w:tcPr>
            <w:tcW w:type="dxa" w:w="25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0.351 / 0.675 / 0.674 / 0.998</w:t>
            </w:r>
          </w:p>
        </w:tc>
      </w:tr>
      <w:tr>
        <w:trPr>
          <w:cantSplit/>
          <w:tblHeader w:val="false"/>
        </w:trPr>
        <w:tc>
          <w:tcPr>
            <w:tcW w:type="dxa" w:w="19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Exponent λ</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0.503 / 1.250 / 1.247 / 1.999</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0.503 / 1.250 / 1.249 / 1.999</w:t>
            </w:r>
          </w:p>
        </w:tc>
        <w:tc>
          <w:tcPr>
            <w:tcW w:type="dxa" w:w="25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0.505 / 1.250 / 1.246 / 1.991</w:t>
            </w:r>
          </w:p>
        </w:tc>
      </w:tr>
      <w:tr>
        <w:trPr>
          <w:cantSplit/>
          <w:tblHeader w:val="false"/>
        </w:trPr>
        <w:tc>
          <w:tcPr>
            <w:tcW w:type="dxa" w:w="19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 at inlet</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21.8 / 73.4 / 68.4 / 151.3</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21.8 / 72.8 / 69.1 / 151.3</w:t>
            </w:r>
          </w:p>
        </w:tc>
        <w:tc>
          <w:tcPr>
            <w:tcW w:type="dxa" w:w="25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25.1 / 74.0 / 67.4 / 147.8</w:t>
            </w:r>
          </w:p>
        </w:tc>
      </w:tr>
      <w:tr>
        <w:trPr>
          <w:cantSplit/>
          <w:tblHeader w:val="false"/>
        </w:trPr>
        <w:tc>
          <w:tcPr>
            <w:tcW w:type="dxa" w:w="19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Channel Δp (Pa)</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2.10 / 22.03 / 14.52 / 158.61</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2.11 / 21.88 / 15.44 / 120.75</w:t>
            </w:r>
          </w:p>
        </w:tc>
        <w:tc>
          <w:tcPr>
            <w:tcW w:type="dxa" w:w="25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2.10 / 22.18 / 14.28 / 158.61</w:t>
            </w:r>
          </w:p>
        </w:tc>
      </w:tr>
      <w:tr>
        <w:trPr>
          <w:cantSplit/>
          <w:tblHeader w:val="false"/>
        </w:trPr>
        <w:tc>
          <w:tcPr>
            <w:tcW w:type="dxa" w:w="19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Outlet T (K)</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298.17 / 330.76 / 331.87 / 373.41</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298.34 / 329.53 / 329.82 / 370.28</w:t>
            </w:r>
          </w:p>
        </w:tc>
        <w:tc>
          <w:tcPr>
            <w:tcW w:type="dxa" w:w="25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298.17 / 331.99 / 333.82 / 373.41</w:t>
            </w:r>
          </w:p>
        </w:tc>
      </w:tr>
      <w:tr>
        <w:trPr>
          <w:cantSplit/>
          <w:tblHeader w:val="false"/>
        </w:trPr>
        <w:tc>
          <w:tcPr>
            <w:tcW w:type="dxa" w:w="19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Fluid ΔT (K)</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6.18 / 20.25 / 17.28 / 58.27</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6.18 / 19.02 / 16.41 / 46.85</w:t>
            </w:r>
          </w:p>
        </w:tc>
        <w:tc>
          <w:tcPr>
            <w:tcW w:type="dxa" w:w="25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6.82 / 21.48 / 17.82 / 58.27</w:t>
            </w:r>
          </w:p>
        </w:tc>
      </w:tr>
      <w:tr>
        <w:trPr>
          <w:cantSplit/>
          <w:tblHeader w:val="false"/>
        </w:trPr>
        <w:tc>
          <w:tcPr>
            <w:tcW w:type="dxa" w:w="19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Useful heat (W)</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90.1 / 201.2 / 200.3 / 327.6</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90.1 / 193.4 / 190.6 / 327.6</w:t>
            </w:r>
          </w:p>
        </w:tc>
        <w:tc>
          <w:tcPr>
            <w:tcW w:type="dxa" w:w="25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101.6 / 209.0 / 213.8 / 318.6</w:t>
            </w:r>
          </w:p>
        </w:tc>
      </w:tr>
      <w:tr>
        <w:trPr>
          <w:cantSplit/>
          <w:tblHeader w:val="false"/>
        </w:trPr>
        <w:tc>
          <w:tcPr>
            <w:tcW w:type="dxa" w:w="19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 η</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0.3415 / 0.5414 / 0.5446 / 0.6732</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0.3415 / 0.5209 / 0.5264 / 0.6732</w:t>
            </w:r>
          </w:p>
        </w:tc>
        <w:tc>
          <w:tcPr>
            <w:tcW w:type="dxa" w:w="25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0.4260 / 0.5620 / 0.5626 / 0.6653</w:t>
            </w:r>
          </w:p>
        </w:tc>
      </w:tr>
      <w:tr>
        <w:trPr>
          <w:cantSplit/>
          <w:tblHeader w:val="false"/>
        </w:trPr>
        <w:tc>
          <w:tcPr>
            <w:tcW w:type="dxa" w:w="19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Mean plate T (K)</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295.48 / 330.32 / 330.96 / 394.41</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299.48 / 337.27 / 337.02 / 394.41</w:t>
            </w:r>
          </w:p>
        </w:tc>
        <w:tc>
          <w:tcPr>
            <w:tcW w:type="dxa" w:w="25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295.48 / 323.38 / 324.54 / 356.50</w:t>
            </w:r>
          </w:p>
        </w:tc>
      </w:tr>
      <w:tr>
        <w:trPr>
          <w:cantSplit/>
          <w:tblHeader w:val="false"/>
        </w:trPr>
        <w:tc>
          <w:tcPr>
            <w:tcW w:type="dxa" w:w="19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Max plate T (K)</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298.95 / 338.79 / 338.83 / 412.63</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301.97 / 344.76 / 342.93 / 412.63</w:t>
            </w:r>
          </w:p>
        </w:tc>
        <w:tc>
          <w:tcPr>
            <w:tcW w:type="dxa" w:w="25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298.95 / 332.82 / 334.39 / 374.02</w:t>
            </w:r>
          </w:p>
        </w:tc>
      </w:tr>
      <w:tr>
        <w:trPr>
          <w:cantSplit/>
          <w:tblHeader w:val="false"/>
        </w:trPr>
        <w:tc>
          <w:tcPr>
            <w:tcW w:type="dxa" w:w="19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 std (K)</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1.513 / 6.239 / 4.991 / 19.468</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1.513 / 6.464 / 4.960 / 19.468</w:t>
            </w:r>
          </w:p>
        </w:tc>
        <w:tc>
          <w:tcPr>
            <w:tcW w:type="dxa" w:w="25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1.915 / 6.013 / 5.013 / 16.130</w:t>
            </w:r>
          </w:p>
        </w:tc>
      </w:tr>
      <w:tr>
        <w:trPr>
          <w:cantSplit/>
          <w:tblHeader w:val="false"/>
        </w:trPr>
        <w:tc>
          <w:tcPr>
            <w:tcW w:type="dxa" w:w="19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 spread (K)</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6.33 / 22.53 / 17.82 / 74.19</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6.38 / 25.29 / 19.61 / 74.19</w:t>
            </w:r>
          </w:p>
        </w:tc>
        <w:tc>
          <w:tcPr>
            <w:tcW w:type="dxa" w:w="25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6.33 / 19.77 / 16.57 / 52.84</w:t>
            </w:r>
          </w:p>
        </w:tc>
      </w:tr>
      <w:tr>
        <w:trPr>
          <w:cantSplit/>
          <w:tblHeader w:val="false"/>
        </w:trPr>
        <w:tc>
          <w:tcPr>
            <w:tcW w:type="dxa" w:w="19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Energy error (%)</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-0.00015 / 0.00003 / -0.00001 / 0.00014</w:t>
            </w:r>
          </w:p>
        </w:tc>
        <w:tc>
          <w:tcPr>
            <w:tcW w:type="dxa" w:w="25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-0.00015 / 0.00007 / 0.00008 / 0.00014</w:t>
            </w:r>
          </w:p>
        </w:tc>
        <w:tc>
          <w:tcPr>
            <w:tcW w:type="dxa" w:w="25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-0.00004 / -0.00002 / -0.00002 / 0.00002</w:t>
            </w:r>
          </w:p>
        </w:tc>
      </w:tr>
      <w:tr>
        <w:trPr>
          <w:cantSplit/>
          <w:tblHeader w:val="false"/>
        </w:trPr>
        <w:tc>
          <w:tcPr>
            <w:tcW w:type="dxa" w:w="19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Outer iterations</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93 / 401 / 274 / 1541</w:t>
            </w:r>
          </w:p>
        </w:tc>
        <w:tc>
          <w:tcPr>
            <w:tcW w:type="dxa" w:w="25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217 / 647 / 530 / 1541</w:t>
            </w:r>
          </w:p>
        </w:tc>
        <w:tc>
          <w:tcPr>
            <w:tcW w:type="dxa" w:w="25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93 / 156 / 135 / 345</w:t>
            </w:r>
          </w:p>
        </w:tc>
      </w:tr>
    </w:tbl>
    <w:p>
      <w:pPr>
        <w:keepNext/>
        <w:spacing w:after="60" w:before="120"/>
      </w:pPr>
      <w:r>
        <w:rPr>
          <w:i/>
          <w:iCs/>
          <w:color w:val="4A4D52"/>
          <w:sz w:val="17"/>
          <w:szCs w:val="17"/>
        </w:rPr>
        <w:t xml:space="preserve">Table 6.1. Statistics of the campaign inputs and outputs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983"/>
        <w:gridCol w:w="1082"/>
        <w:gridCol w:w="590"/>
        <w:gridCol w:w="590"/>
        <w:gridCol w:w="590"/>
        <w:gridCol w:w="492"/>
        <w:gridCol w:w="787"/>
        <w:gridCol w:w="590"/>
        <w:gridCol w:w="590"/>
        <w:gridCol w:w="492"/>
        <w:gridCol w:w="590"/>
        <w:gridCol w:w="590"/>
        <w:gridCol w:w="590"/>
        <w:gridCol w:w="492"/>
        <w:gridCol w:w="590"/>
      </w:tblGrid>
      <w:tr>
        <w:trPr>
          <w:cantSplit/>
          <w:tblHeader/>
        </w:trPr>
        <w:tc>
          <w:tcPr>
            <w:tcW w:type="dxa" w:w="98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case_id</w:t>
            </w:r>
          </w:p>
        </w:tc>
        <w:tc>
          <w:tcPr>
            <w:tcW w:type="dxa" w:w="108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59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G_T_W_m2</w:t>
            </w:r>
          </w:p>
        </w:tc>
        <w:tc>
          <w:tcPr>
            <w:tcW w:type="dxa" w:w="59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T_in_K</w:t>
            </w:r>
          </w:p>
        </w:tc>
        <w:tc>
          <w:tcPr>
            <w:tcW w:type="dxa" w:w="59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T_amb_K</w:t>
            </w:r>
          </w:p>
        </w:tc>
        <w:tc>
          <w:tcPr>
            <w:tcW w:type="dxa" w:w="49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v_wind_m_s</w:t>
            </w:r>
          </w:p>
        </w:tc>
        <w:tc>
          <w:tcPr>
            <w:tcW w:type="dxa" w:w="78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mdot_total_kg_s</w:t>
            </w:r>
          </w:p>
        </w:tc>
        <w:tc>
          <w:tcPr>
            <w:tcW w:type="dxa" w:w="59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bridge_mm</w:t>
            </w:r>
          </w:p>
        </w:tc>
        <w:tc>
          <w:tcPr>
            <w:tcW w:type="dxa" w:w="59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g_ratio</w:t>
            </w:r>
          </w:p>
        </w:tc>
        <w:tc>
          <w:tcPr>
            <w:tcW w:type="dxa" w:w="49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lambda_G</w:t>
            </w:r>
          </w:p>
        </w:tc>
        <w:tc>
          <w:tcPr>
            <w:tcW w:type="dxa" w:w="59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T_out_K</w:t>
            </w:r>
          </w:p>
        </w:tc>
        <w:tc>
          <w:tcPr>
            <w:tcW w:type="dxa" w:w="59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eta</w:t>
            </w:r>
          </w:p>
        </w:tc>
        <w:tc>
          <w:tcPr>
            <w:tcW w:type="dxa" w:w="59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T_plate_mean_K</w:t>
            </w:r>
          </w:p>
        </w:tc>
        <w:tc>
          <w:tcPr>
            <w:tcW w:type="dxa" w:w="49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plate_std_K</w:t>
            </w:r>
          </w:p>
        </w:tc>
        <w:tc>
          <w:tcPr>
            <w:tcW w:type="dxa" w:w="59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dp_channel_Pa</w:t>
            </w:r>
          </w:p>
        </w:tc>
      </w:tr>
      <w:tr>
        <w:trPr>
          <w:cantSplit/>
          <w:tblHeader w:val="false"/>
        </w:trPr>
        <w:tc>
          <w:tcPr>
            <w:tcW w:type="dxa" w:w="9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ALT_000</w:t>
            </w:r>
          </w:p>
        </w:tc>
        <w:tc>
          <w:tcPr>
            <w:tcW w:type="dxa" w:w="10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833.0998</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292.0654</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289.5495</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3.0065</w:t>
            </w:r>
          </w:p>
        </w:tc>
        <w:tc>
          <w:tcPr>
            <w:tcW w:type="dxa" w:w="78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0.0038</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23.8296</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0.9382</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1.9269</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308.5433</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0.5874</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311.4657</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4.0634</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14.3053</w:t>
            </w:r>
          </w:p>
        </w:tc>
      </w:tr>
      <w:tr>
        <w:trPr>
          <w:cantSplit/>
          <w:tblHeader w:val="false"/>
        </w:trPr>
        <w:tc>
          <w:tcPr>
            <w:tcW w:type="dxa" w:w="9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ALT_001</w:t>
            </w:r>
          </w:p>
        </w:tc>
        <w:tc>
          <w:tcPr>
            <w:tcW w:type="dxa" w:w="10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484.5321</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326.7904</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287.0671</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3.3326</w:t>
            </w:r>
          </w:p>
        </w:tc>
        <w:tc>
          <w:tcPr>
            <w:tcW w:type="dxa" w:w="78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0.0028</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20.2109</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0.6723</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0.5626</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335.8182</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0.4134</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338.7247</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2.8683</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15.5155</w:t>
            </w:r>
          </w:p>
        </w:tc>
      </w:tr>
      <w:tr>
        <w:trPr>
          <w:cantSplit/>
          <w:tblHeader w:val="false"/>
        </w:trPr>
        <w:tc>
          <w:tcPr>
            <w:tcW w:type="dxa" w:w="9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ALT_002</w:t>
            </w:r>
          </w:p>
        </w:tc>
        <w:tc>
          <w:tcPr>
            <w:tcW w:type="dxa" w:w="10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419.9503</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290.3044</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297.2822</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3.0624</w:t>
            </w:r>
          </w:p>
        </w:tc>
        <w:tc>
          <w:tcPr>
            <w:tcW w:type="dxa" w:w="78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0.0023</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28.3827</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0.8241</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1.4522</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303.7276</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0.5787</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308.8907</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4.5555</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11.973</w:t>
            </w:r>
          </w:p>
        </w:tc>
      </w:tr>
      <w:tr>
        <w:trPr>
          <w:cantSplit/>
          <w:tblHeader w:val="false"/>
        </w:trPr>
        <w:tc>
          <w:tcPr>
            <w:tcW w:type="dxa" w:w="9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ALT_003</w:t>
            </w:r>
          </w:p>
        </w:tc>
        <w:tc>
          <w:tcPr>
            <w:tcW w:type="dxa" w:w="10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882.5161</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309.9996</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296.5432</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2.4391</w:t>
            </w:r>
          </w:p>
        </w:tc>
        <w:tc>
          <w:tcPr>
            <w:tcW w:type="dxa" w:w="78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0.0024</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24.9194</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0.6607</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1.528</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334.6626</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0.5288</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344.29</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8.5077</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11.263</w:t>
            </w:r>
          </w:p>
        </w:tc>
      </w:tr>
      <w:tr>
        <w:trPr>
          <w:cantSplit/>
          <w:tblHeader w:val="false"/>
        </w:trPr>
        <w:tc>
          <w:tcPr>
            <w:tcW w:type="dxa" w:w="9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ALT_004</w:t>
            </w:r>
          </w:p>
        </w:tc>
        <w:tc>
          <w:tcPr>
            <w:tcW w:type="dxa" w:w="10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475.1487</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302.6358</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311.7342</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4.9431</w:t>
            </w:r>
          </w:p>
        </w:tc>
        <w:tc>
          <w:tcPr>
            <w:tcW w:type="dxa" w:w="78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27.5294</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0.7969</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1.9054</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324.2092</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0.5295</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336.7688</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8.7875</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5.4925</w:t>
            </w:r>
          </w:p>
        </w:tc>
      </w:tr>
      <w:tr>
        <w:trPr>
          <w:cantSplit/>
          <w:tblHeader w:val="false"/>
        </w:trPr>
        <w:tc>
          <w:tcPr>
            <w:tcW w:type="dxa" w:w="9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PAR_000</w:t>
            </w:r>
          </w:p>
        </w:tc>
        <w:tc>
          <w:tcPr>
            <w:tcW w:type="dxa" w:w="10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665.0261</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289.923</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289.9617</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1.8451</w:t>
            </w:r>
          </w:p>
        </w:tc>
        <w:tc>
          <w:tcPr>
            <w:tcW w:type="dxa" w:w="78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0.0032</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29.2248</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0.5216</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1.2415</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305.7192</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0.6082</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299.6618</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4.4378</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44.9145</w:t>
            </w:r>
          </w:p>
        </w:tc>
      </w:tr>
      <w:tr>
        <w:trPr>
          <w:cantSplit/>
          <w:tblHeader w:val="false"/>
        </w:trPr>
        <w:tc>
          <w:tcPr>
            <w:tcW w:type="dxa" w:w="9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PAR_001</w:t>
            </w:r>
          </w:p>
        </w:tc>
        <w:tc>
          <w:tcPr>
            <w:tcW w:type="dxa" w:w="10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913.2767</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295.4192</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310.78</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1.4079</w:t>
            </w:r>
          </w:p>
        </w:tc>
        <w:tc>
          <w:tcPr>
            <w:tcW w:type="dxa" w:w="78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0.0032</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20.2386</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0.4153</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1.2974</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318.9878</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0.6455</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309.8163</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6.6274</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59.4854</w:t>
            </w:r>
          </w:p>
        </w:tc>
      </w:tr>
      <w:tr>
        <w:trPr>
          <w:cantSplit/>
          <w:tblHeader w:val="false"/>
        </w:trPr>
        <w:tc>
          <w:tcPr>
            <w:tcW w:type="dxa" w:w="9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PAR_002</w:t>
            </w:r>
          </w:p>
        </w:tc>
        <w:tc>
          <w:tcPr>
            <w:tcW w:type="dxa" w:w="10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550.2224</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294.4523</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306.8768</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0.7646</w:t>
            </w:r>
          </w:p>
        </w:tc>
        <w:tc>
          <w:tcPr>
            <w:tcW w:type="dxa" w:w="78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34.4898</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0.5823</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0.8952</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322.9835</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0.6211</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311.1776</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7.9585</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15.0681</w:t>
            </w:r>
          </w:p>
        </w:tc>
      </w:tr>
      <w:tr>
        <w:trPr>
          <w:cantSplit/>
          <w:tblHeader w:val="false"/>
        </w:trPr>
        <w:tc>
          <w:tcPr>
            <w:tcW w:type="dxa" w:w="9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PAR_003</w:t>
            </w:r>
          </w:p>
        </w:tc>
        <w:tc>
          <w:tcPr>
            <w:tcW w:type="dxa" w:w="10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990.3464</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323.6548</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283.0374</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0.1349</w:t>
            </w:r>
          </w:p>
        </w:tc>
        <w:tc>
          <w:tcPr>
            <w:tcW w:type="dxa" w:w="78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0.0039</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20.7219</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0.8877</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0.8737</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340.66</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0.5363</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334.2487</w:t>
            </w:r>
          </w:p>
        </w:tc>
        <w:tc>
          <w:tcPr>
            <w:tcW w:type="dxa" w:w="4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4.7928</w:t>
            </w:r>
          </w:p>
        </w:tc>
        <w:tc>
          <w:tcPr>
            <w:tcW w:type="dxa" w:w="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9.8807</w:t>
            </w:r>
          </w:p>
        </w:tc>
      </w:tr>
      <w:tr>
        <w:trPr>
          <w:cantSplit/>
          <w:tblHeader w:val="false"/>
        </w:trPr>
        <w:tc>
          <w:tcPr>
            <w:tcW w:type="dxa" w:w="9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PAR_004</w:t>
            </w:r>
          </w:p>
        </w:tc>
        <w:tc>
          <w:tcPr>
            <w:tcW w:type="dxa" w:w="10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750.5296</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288.091</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289.1408</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4.707</w:t>
            </w:r>
          </w:p>
        </w:tc>
        <w:tc>
          <w:tcPr>
            <w:tcW w:type="dxa" w:w="78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0.003</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27.5461</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0.7223</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0.5767</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307.1957</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0.6129</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299.7744</w:t>
            </w:r>
          </w:p>
        </w:tc>
        <w:tc>
          <w:tcPr>
            <w:tcW w:type="dxa" w:w="4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5.3586</w:t>
            </w:r>
          </w:p>
        </w:tc>
        <w:tc>
          <w:tcPr>
            <w:tcW w:type="dxa" w:w="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26.1354</w:t>
            </w:r>
          </w:p>
        </w:tc>
      </w:tr>
    </w:tbl>
    <w:p>
      <w:pPr>
        <w:keepNext/>
        <w:spacing w:after="60" w:before="120"/>
      </w:pPr>
      <w:r>
        <w:rPr>
          <w:i/>
          <w:iCs/>
          <w:color w:val="4A4D52"/>
          <w:sz w:val="17"/>
          <w:szCs w:val="17"/>
        </w:rPr>
        <w:t xml:space="preserve">Table 6.2. Sample rows (first five of each arrangement); full file: GRAIL_CFD_dataset_FINAL_rev4.2.csv</w:t>
      </w:r>
    </w:p>
    <w:p>
      <w:pPr>
        <w:pStyle w:val="Heading2"/>
        <w:keepNext/>
        <w:spacing w:after="120" w:before="280"/>
      </w:pPr>
      <w:r>
        <w:t xml:space="preserve">6.3 Alternating vs parallel at equal inputs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132"/>
        <w:gridCol w:w="1566"/>
        <w:gridCol w:w="1566"/>
        <w:gridCol w:w="1566"/>
        <w:gridCol w:w="1808"/>
      </w:tblGrid>
      <w:tr>
        <w:trPr>
          <w:cantSplit/>
          <w:tblHeader/>
        </w:trPr>
        <w:tc>
          <w:tcPr>
            <w:tcW w:type="dxa" w:w="313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156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parallel</w:t>
            </w:r>
          </w:p>
        </w:tc>
        <w:tc>
          <w:tcPr>
            <w:tcW w:type="dxa" w:w="156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alternating</w:t>
            </w:r>
          </w:p>
        </w:tc>
        <w:tc>
          <w:tcPr>
            <w:tcW w:type="dxa" w:w="156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difference</w:t>
            </w:r>
          </w:p>
        </w:tc>
        <w:tc>
          <w:tcPr>
            <w:tcW w:type="dxa" w:w="180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mann_whitney_p
</w:t>
            </w:r>
          </w:p>
        </w:tc>
      </w:tr>
      <w:tr>
        <w:trPr>
          <w:cantSplit/>
          <w:tblHeader w:val="false"/>
        </w:trPr>
        <w:tc>
          <w:tcPr>
            <w:tcW w:type="dxa" w:w="313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eta_mean</w:t>
            </w:r>
          </w:p>
        </w:tc>
        <w:tc>
          <w:tcPr>
            <w:tcW w:type="dxa" w:w="15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0.562</w:t>
            </w:r>
          </w:p>
        </w:tc>
        <w:tc>
          <w:tcPr>
            <w:tcW w:type="dxa" w:w="15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0.5209</w:t>
            </w:r>
          </w:p>
        </w:tc>
        <w:tc>
          <w:tcPr>
            <w:tcW w:type="dxa" w:w="15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-7.3%</w:t>
            </w:r>
          </w:p>
        </w:tc>
        <w:tc>
          <w:tcPr>
            <w:tcW w:type="dxa" w:w="18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2e-8
</w:t>
            </w:r>
          </w:p>
        </w:tc>
      </w:tr>
      <w:tr>
        <w:trPr>
          <w:cantSplit/>
          <w:tblHeader w:val="false"/>
        </w:trPr>
        <w:tc>
          <w:tcPr>
            <w:tcW w:type="dxa" w:w="313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plate_std_median_K</w:t>
            </w:r>
          </w:p>
        </w:tc>
        <w:tc>
          <w:tcPr>
            <w:tcW w:type="dxa" w:w="156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5.013</w:t>
            </w:r>
          </w:p>
        </w:tc>
        <w:tc>
          <w:tcPr>
            <w:tcW w:type="dxa" w:w="156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4.96</w:t>
            </w:r>
          </w:p>
        </w:tc>
        <w:tc>
          <w:tcPr>
            <w:tcW w:type="dxa" w:w="156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w:t>
            </w:r>
          </w:p>
        </w:tc>
        <w:tc>
          <w:tcPr>
            <w:tcW w:type="dxa" w:w="18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0.76
</w:t>
            </w:r>
          </w:p>
        </w:tc>
      </w:tr>
      <w:tr>
        <w:trPr>
          <w:cantSplit/>
          <w:tblHeader w:val="false"/>
        </w:trPr>
        <w:tc>
          <w:tcPr>
            <w:tcW w:type="dxa" w:w="313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plate_spread_median_K</w:t>
            </w:r>
          </w:p>
        </w:tc>
        <w:tc>
          <w:tcPr>
            <w:tcW w:type="dxa" w:w="15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16.57</w:t>
            </w:r>
          </w:p>
        </w:tc>
        <w:tc>
          <w:tcPr>
            <w:tcW w:type="dxa" w:w="15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19.61</w:t>
            </w:r>
          </w:p>
        </w:tc>
        <w:tc>
          <w:tcPr>
            <w:tcW w:type="dxa" w:w="15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+18.4%</w:t>
            </w:r>
          </w:p>
        </w:tc>
        <w:tc>
          <w:tcPr>
            <w:tcW w:type="dxa" w:w="18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
</w:t>
            </w:r>
          </w:p>
        </w:tc>
      </w:tr>
      <w:tr>
        <w:trPr>
          <w:cantSplit/>
          <w:tblHeader w:val="false"/>
        </w:trPr>
        <w:tc>
          <w:tcPr>
            <w:tcW w:type="dxa" w:w="313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T_plate_mean_diff_K</w:t>
            </w:r>
          </w:p>
        </w:tc>
        <w:tc>
          <w:tcPr>
            <w:tcW w:type="dxa" w:w="156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156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156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+13.9</w:t>
            </w:r>
          </w:p>
        </w:tc>
        <w:tc>
          <w:tcPr>
            <w:tcW w:type="dxa" w:w="18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2e-10
</w:t>
            </w:r>
          </w:p>
        </w:tc>
      </w:tr>
      <w:tr>
        <w:trPr>
          <w:cantSplit/>
          <w:tblHeader w:val="false"/>
        </w:trPr>
        <w:tc>
          <w:tcPr>
            <w:tcW w:type="dxa" w:w="313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P90_diff_K</w:t>
            </w:r>
          </w:p>
        </w:tc>
        <w:tc>
          <w:tcPr>
            <w:tcW w:type="dxa" w:w="15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15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15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+12.6</w:t>
            </w:r>
          </w:p>
        </w:tc>
        <w:tc>
          <w:tcPr>
            <w:tcW w:type="dxa" w:w="18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2e-6</w:t>
            </w:r>
          </w:p>
        </w:tc>
      </w:tr>
    </w:tbl>
    <w:p>
      <w:pPr>
        <w:keepNext/>
        <w:spacing w:after="60" w:before="120"/>
      </w:pPr>
      <w:r>
        <w:rPr>
          <w:i/>
          <w:iCs/>
          <w:color w:val="4A4D52"/>
          <w:sz w:val="17"/>
          <w:szCs w:val="17"/>
        </w:rPr>
        <w:t xml:space="preserve">Table 6.3. Group comparison (150 vs 150, Mann-Whitney)</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084"/>
        <w:gridCol w:w="1042"/>
        <w:gridCol w:w="1042"/>
        <w:gridCol w:w="2084"/>
        <w:gridCol w:w="2084"/>
        <w:gridCol w:w="1302"/>
      </w:tblGrid>
      <w:tr>
        <w:trPr>
          <w:cantSplit/>
          <w:tblHeader/>
        </w:trPr>
        <w:tc>
          <w:tcPr>
            <w:tcW w:type="dxa" w:w="208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total_flow_g_s</w:t>
            </w:r>
          </w:p>
        </w:tc>
        <w:tc>
          <w:tcPr>
            <w:tcW w:type="dxa" w:w="104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n_alt</w:t>
            </w:r>
          </w:p>
        </w:tc>
        <w:tc>
          <w:tcPr>
            <w:tcW w:type="dxa" w:w="104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n_par</w:t>
            </w:r>
          </w:p>
        </w:tc>
        <w:tc>
          <w:tcPr>
            <w:tcW w:type="dxa" w:w="208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d_eta_mean_pct</w:t>
            </w:r>
          </w:p>
        </w:tc>
        <w:tc>
          <w:tcPr>
            <w:tcW w:type="dxa" w:w="208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d_std_median_pct</w:t>
            </w:r>
          </w:p>
        </w:tc>
        <w:tc>
          <w:tcPr>
            <w:tcW w:type="dxa" w:w="130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p_std
</w:t>
            </w:r>
          </w:p>
        </w:tc>
      </w:tr>
      <w:tr>
        <w:trPr>
          <w:cantSplit/>
          <w:tblHeader w:val="false"/>
        </w:trPr>
        <w:tc>
          <w:tcPr>
            <w:tcW w:type="dxa" w:w="2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1.0-2.2</w:t>
            </w:r>
          </w:p>
        </w:tc>
        <w:tc>
          <w:tcPr>
            <w:tcW w:type="dxa" w:w="104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50</w:t>
            </w:r>
          </w:p>
        </w:tc>
        <w:tc>
          <w:tcPr>
            <w:tcW w:type="dxa" w:w="104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50</w:t>
            </w:r>
          </w:p>
        </w:tc>
        <w:tc>
          <w:tcPr>
            <w:tcW w:type="dxa" w:w="2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-12.7</w:t>
            </w:r>
          </w:p>
        </w:tc>
        <w:tc>
          <w:tcPr>
            <w:tcW w:type="dxa" w:w="2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16.8</w:t>
            </w:r>
          </w:p>
        </w:tc>
        <w:tc>
          <w:tcPr>
            <w:tcW w:type="dxa" w:w="13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0.033
</w:t>
            </w:r>
          </w:p>
        </w:tc>
      </w:tr>
      <w:tr>
        <w:trPr>
          <w:cantSplit/>
          <w:tblHeader w:val="false"/>
        </w:trPr>
        <w:tc>
          <w:tcPr>
            <w:tcW w:type="dxa" w:w="2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2.2-3.3</w:t>
            </w:r>
          </w:p>
        </w:tc>
        <w:tc>
          <w:tcPr>
            <w:tcW w:type="dxa" w:w="104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w:t>
            </w:r>
          </w:p>
        </w:tc>
        <w:tc>
          <w:tcPr>
            <w:tcW w:type="dxa" w:w="104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w:t>
            </w:r>
          </w:p>
        </w:tc>
        <w:tc>
          <w:tcPr>
            <w:tcW w:type="dxa" w:w="2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-6.0</w:t>
            </w:r>
          </w:p>
        </w:tc>
        <w:tc>
          <w:tcPr>
            <w:tcW w:type="dxa" w:w="2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7.9</w:t>
            </w:r>
          </w:p>
        </w:tc>
        <w:tc>
          <w:tcPr>
            <w:tcW w:type="dxa" w:w="13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0.14
</w:t>
            </w:r>
          </w:p>
        </w:tc>
      </w:tr>
      <w:tr>
        <w:trPr>
          <w:cantSplit/>
          <w:tblHeader w:val="false"/>
        </w:trPr>
        <w:tc>
          <w:tcPr>
            <w:tcW w:type="dxa" w:w="2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3.3-4.5</w:t>
            </w:r>
          </w:p>
        </w:tc>
        <w:tc>
          <w:tcPr>
            <w:tcW w:type="dxa" w:w="104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50</w:t>
            </w:r>
          </w:p>
        </w:tc>
        <w:tc>
          <w:tcPr>
            <w:tcW w:type="dxa" w:w="104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50</w:t>
            </w:r>
          </w:p>
        </w:tc>
        <w:tc>
          <w:tcPr>
            <w:tcW w:type="dxa" w:w="2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-3.5</w:t>
            </w:r>
          </w:p>
        </w:tc>
        <w:tc>
          <w:tcPr>
            <w:tcW w:type="dxa" w:w="2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-13.4</w:t>
            </w:r>
          </w:p>
        </w:tc>
        <w:tc>
          <w:tcPr>
            <w:tcW w:type="dxa" w:w="13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0.017</w:t>
            </w:r>
          </w:p>
        </w:tc>
      </w:tr>
    </w:tbl>
    <w:p>
      <w:pPr>
        <w:keepNext/>
        <w:spacing w:after="60" w:before="120"/>
      </w:pPr>
      <w:r>
        <w:rPr>
          <w:i/>
          <w:iCs/>
          <w:color w:val="4A4D52"/>
          <w:sz w:val="17"/>
          <w:szCs w:val="17"/>
        </w:rPr>
        <w:t xml:space="preserve">Table 6.4. Differences by flow tercile</w:t>
      </w:r>
    </w:p>
    <w:p>
      <w:pPr>
        <w:spacing w:after="40" w:before="160"/>
        <w:jc w:val="center"/>
      </w:pPr>
      <w:r>
        <w:drawing>
          <wp:inline distT="0" distB="0" distL="0" distR="0">
            <wp:extent cx="52101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210175" cy="2190750"/>
                    </a:xfrm>
                    <a:prstGeom prst="rect">
                      <a:avLst/>
                    </a:prstGeom>
                  </pic:spPr>
                </pic:pic>
              </a:graphicData>
            </a:graphic>
          </wp:inline>
        </w:drawing>
      </w:r>
    </w:p>
    <w:p>
      <w:pPr>
        <w:spacing w:after="240" w:before="60"/>
        <w:jc w:val="center"/>
      </w:pPr>
      <w:r>
        <w:rPr>
          <w:i/>
          <w:iCs/>
          <w:color w:val="4A4D52"/>
          <w:sz w:val="17"/>
          <w:szCs w:val="17"/>
        </w:rPr>
        <w:t xml:space="preserve">Figure 6.1. Arrangement groups</w:t>
      </w:r>
    </w:p>
    <w:p>
      <w:pPr>
        <w:spacing w:after="40" w:before="160"/>
        <w:jc w:val="center"/>
      </w:pPr>
      <w:r>
        <w:drawing>
          <wp:inline distT="0" distB="0" distL="0" distR="0">
            <wp:extent cx="52101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210175" cy="2085975"/>
                    </a:xfrm>
                    <a:prstGeom prst="rect">
                      <a:avLst/>
                    </a:prstGeom>
                  </pic:spPr>
                </pic:pic>
              </a:graphicData>
            </a:graphic>
          </wp:inline>
        </w:drawing>
      </w:r>
    </w:p>
    <w:p>
      <w:pPr>
        <w:spacing w:after="240" w:before="60"/>
        <w:jc w:val="center"/>
      </w:pPr>
      <w:r>
        <w:rPr>
          <w:i/>
          <w:iCs/>
          <w:color w:val="4A4D52"/>
          <w:sz w:val="17"/>
          <w:szCs w:val="17"/>
        </w:rPr>
        <w:t xml:space="preserve">Figure 6.2. Arrangement effect by flow</w:t>
      </w:r>
    </w:p>
    <w:p>
      <w:pPr>
        <w:spacing w:after="40" w:before="160"/>
        <w:jc w:val="center"/>
      </w:pPr>
      <w:r>
        <w:drawing>
          <wp:inline distT="0" distB="0" distL="0" distR="0">
            <wp:extent cx="551497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14975" cy="2095500"/>
                    </a:xfrm>
                    <a:prstGeom prst="rect">
                      <a:avLst/>
                    </a:prstGeom>
                  </pic:spPr>
                </pic:pic>
              </a:graphicData>
            </a:graphic>
          </wp:inline>
        </w:drawing>
      </w:r>
    </w:p>
    <w:p>
      <w:pPr>
        <w:spacing w:after="240" w:before="60"/>
        <w:jc w:val="center"/>
      </w:pPr>
      <w:r>
        <w:rPr>
          <w:i/>
          <w:iCs/>
          <w:color w:val="4A4D52"/>
          <w:sz w:val="17"/>
          <w:szCs w:val="17"/>
        </w:rPr>
        <w:t xml:space="preserve">Figure 6.3. Plate-std distributions and radiative excess vs bridge width</w:t>
      </w:r>
    </w:p>
    <w:p>
      <w:pPr>
        <w:spacing w:after="40" w:before="160"/>
        <w:jc w:val="center"/>
      </w:pPr>
      <w:r>
        <w:drawing>
          <wp:inline distT="0" distB="0" distL="0" distR="0">
            <wp:extent cx="48958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95850" cy="3057525"/>
                    </a:xfrm>
                    <a:prstGeom prst="rect">
                      <a:avLst/>
                    </a:prstGeom>
                  </pic:spPr>
                </pic:pic>
              </a:graphicData>
            </a:graphic>
          </wp:inline>
        </w:drawing>
      </w:r>
    </w:p>
    <w:p>
      <w:pPr>
        <w:spacing w:after="240" w:before="60"/>
        <w:jc w:val="center"/>
      </w:pPr>
      <w:r>
        <w:rPr>
          <w:i/>
          <w:iCs/>
          <w:color w:val="4A4D52"/>
          <w:sz w:val="17"/>
          <w:szCs w:val="17"/>
        </w:rPr>
        <w:t xml:space="preserve">Figure 6.4. Loss breakdown (group means)</w:t>
      </w:r>
    </w:p>
    <w:p>
      <w:pPr>
        <w:spacing w:after="40" w:before="160"/>
        <w:jc w:val="center"/>
      </w:pPr>
      <w:r>
        <w:drawing>
          <wp:inline distT="0" distB="0" distL="0" distR="0">
            <wp:extent cx="48958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95850" cy="3171825"/>
                    </a:xfrm>
                    <a:prstGeom prst="rect">
                      <a:avLst/>
                    </a:prstGeom>
                  </pic:spPr>
                </pic:pic>
              </a:graphicData>
            </a:graphic>
          </wp:inline>
        </w:drawing>
      </w:r>
    </w:p>
    <w:p>
      <w:pPr>
        <w:spacing w:after="240" w:before="60"/>
        <w:jc w:val="center"/>
      </w:pPr>
      <w:r>
        <w:rPr>
          <w:i/>
          <w:iCs/>
          <w:color w:val="4A4D52"/>
          <w:sz w:val="17"/>
          <w:szCs w:val="17"/>
        </w:rPr>
        <w:t xml:space="preserve">Figure 6.5. Correlation between inputs and outputs</w:t>
      </w:r>
    </w:p>
    <w:p>
      <w:pPr>
        <w:spacing w:after="40" w:before="160"/>
        <w:jc w:val="center"/>
      </w:pPr>
      <w:r>
        <w:drawing>
          <wp:inline distT="0" distB="0" distL="0" distR="0">
            <wp:extent cx="551497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14975" cy="2095500"/>
                    </a:xfrm>
                    <a:prstGeom prst="rect">
                      <a:avLst/>
                    </a:prstGeom>
                  </pic:spPr>
                </pic:pic>
              </a:graphicData>
            </a:graphic>
          </wp:inline>
        </w:drawing>
      </w:r>
    </w:p>
    <w:p>
      <w:pPr>
        <w:spacing w:after="240" w:before="60"/>
        <w:jc w:val="center"/>
      </w:pPr>
      <w:r>
        <w:rPr>
          <w:i/>
          <w:iCs/>
          <w:color w:val="4A4D52"/>
          <w:sz w:val="17"/>
          <w:szCs w:val="17"/>
        </w:rPr>
        <w:t xml:space="preserve">Figure 6.6. Efficiency and pressure drop against grading ratio</w:t>
      </w:r>
    </w:p>
    <w:p>
      <w:pPr>
        <w:pStyle w:val="Heading1"/>
        <w:pageBreakBefore/>
        <w:spacing w:after="160" w:before="0"/>
      </w:pPr>
      <w:r>
        <w:t xml:space="preserve">7. Mechanism, uncertainty and matched-temperature study (V7)</w:t>
      </w:r>
    </w:p>
    <w:p>
      <w:pPr>
        <w:pStyle w:val="Heading2"/>
        <w:keepNext/>
        <w:spacing w:after="120" w:before="280"/>
      </w:pPr>
      <w:r>
        <w:t xml:space="preserve">7.1 Why alternating flow loses efficiency</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6024"/>
        <w:gridCol w:w="3614"/>
      </w:tblGrid>
      <w:tr>
        <w:trPr>
          <w:cantSplit/>
          <w:tblHeader/>
        </w:trPr>
        <w:tc>
          <w:tcPr>
            <w:tcW w:type="dxa" w:w="602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361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
</w:t>
            </w:r>
          </w:p>
        </w:tc>
      </w:tr>
      <w:tr>
        <w:trPr>
          <w:cantSplit/>
          <w:tblHeader w:val="false"/>
        </w:trPr>
        <w:tc>
          <w:tcPr>
            <w:tcW w:type="dxa" w:w="602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absorbed_per_channel_W</w:t>
            </w:r>
          </w:p>
        </w:tc>
        <w:tc>
          <w:tcPr>
            <w:tcW w:type="dxa" w:w="361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24.8
</w:t>
            </w:r>
          </w:p>
        </w:tc>
      </w:tr>
      <w:tr>
        <w:trPr>
          <w:cantSplit/>
          <w:tblHeader w:val="false"/>
        </w:trPr>
        <w:tc>
          <w:tcPr>
            <w:tcW w:type="dxa" w:w="602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returned_per_channel_W</w:t>
            </w:r>
          </w:p>
        </w:tc>
        <w:tc>
          <w:tcPr>
            <w:tcW w:type="dxa" w:w="361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9.94
</w:t>
            </w:r>
          </w:p>
        </w:tc>
      </w:tr>
      <w:tr>
        <w:trPr>
          <w:cantSplit/>
          <w:tblHeader w:val="false"/>
        </w:trPr>
        <w:tc>
          <w:tcPr>
            <w:tcW w:type="dxa" w:w="602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returned_fraction_pct</w:t>
            </w:r>
          </w:p>
        </w:tc>
        <w:tc>
          <w:tcPr>
            <w:tcW w:type="dxa" w:w="361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40.1
</w:t>
            </w:r>
          </w:p>
        </w:tc>
      </w:tr>
      <w:tr>
        <w:trPr>
          <w:cantSplit/>
          <w:tblHeader w:val="false"/>
        </w:trPr>
        <w:tc>
          <w:tcPr>
            <w:tcW w:type="dxa" w:w="602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length_with_negative_qprime_pct</w:t>
            </w:r>
          </w:p>
        </w:tc>
        <w:tc>
          <w:tcPr>
            <w:tcW w:type="dxa" w:w="361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41
</w:t>
            </w:r>
          </w:p>
        </w:tc>
      </w:tr>
      <w:tr>
        <w:trPr>
          <w:cantSplit/>
          <w:tblHeader w:val="false"/>
        </w:trPr>
        <w:tc>
          <w:tcPr>
            <w:tcW w:type="dxa" w:w="602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net_W</w:t>
            </w:r>
          </w:p>
        </w:tc>
        <w:tc>
          <w:tcPr>
            <w:tcW w:type="dxa" w:w="361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14.86
</w:t>
            </w:r>
          </w:p>
        </w:tc>
      </w:tr>
      <w:tr>
        <w:trPr>
          <w:cantSplit/>
          <w:tblHeader w:val="false"/>
        </w:trPr>
        <w:tc>
          <w:tcPr>
            <w:tcW w:type="dxa" w:w="602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mdot_cp_dT_W</w:t>
            </w:r>
          </w:p>
        </w:tc>
        <w:tc>
          <w:tcPr>
            <w:tcW w:type="dxa" w:w="361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14.85</w:t>
            </w:r>
          </w:p>
        </w:tc>
      </w:tr>
    </w:tbl>
    <w:p>
      <w:pPr>
        <w:keepNext/>
        <w:spacing w:after="60" w:before="120"/>
      </w:pPr>
      <w:r>
        <w:rPr>
          <w:i/>
          <w:iCs/>
          <w:color w:val="4A4D52"/>
          <w:sz w:val="17"/>
          <w:szCs w:val="17"/>
        </w:rPr>
        <w:t xml:space="preserve">Table 7.1. Heat recirculation in alternating flow (3-D, design point)</w:t>
      </w:r>
    </w:p>
    <w:p>
      <w:pPr>
        <w:spacing w:after="120" w:before="0" w:line="276" w:lineRule="auto"/>
        <w:jc w:val="both"/>
      </w:pPr>
      <w:r>
        <w:t xml:space="preserve">Counter-flowing neighbours act as a counter-flow heat exchanger through the metal. About 40 % of the heat a channel absorbs is handed back to the plate over 41 % of its length. The fluid peaks mid-channel (328.6 K) and leaves cooler (317.1 K). The plate runs hotter and loses more heat to the front.</w:t>
      </w:r>
    </w:p>
    <w:p>
      <w:pPr>
        <w:spacing w:after="40" w:before="160"/>
        <w:jc w:val="center"/>
      </w:pPr>
      <w:r>
        <w:drawing>
          <wp:inline distT="0" distB="0" distL="0" distR="0">
            <wp:extent cx="521017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10175" cy="1981200"/>
                    </a:xfrm>
                    <a:prstGeom prst="rect">
                      <a:avLst/>
                    </a:prstGeom>
                  </pic:spPr>
                </pic:pic>
              </a:graphicData>
            </a:graphic>
          </wp:inline>
        </w:drawing>
      </w:r>
    </w:p>
    <w:p>
      <w:pPr>
        <w:spacing w:after="240" w:before="60"/>
        <w:jc w:val="center"/>
      </w:pPr>
      <w:r>
        <w:rPr>
          <w:i/>
          <w:iCs/>
          <w:color w:val="4A4D52"/>
          <w:sz w:val="17"/>
          <w:szCs w:val="17"/>
        </w:rPr>
        <w:t xml:space="preserve">Figure 7.1. Heat recirculation along the channel, alternating</w:t>
      </w:r>
    </w:p>
    <w:p>
      <w:pPr>
        <w:pStyle w:val="Heading2"/>
        <w:keepNext/>
        <w:spacing w:after="120" w:before="280"/>
      </w:pPr>
      <w:r>
        <w:t xml:space="preserve">7.2 Uncertainty budget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819"/>
        <w:gridCol w:w="2410"/>
        <w:gridCol w:w="2409"/>
      </w:tblGrid>
      <w:tr>
        <w:trPr>
          <w:cantSplit/>
          <w:tblHeader/>
        </w:trPr>
        <w:tc>
          <w:tcPr>
            <w:tcW w:type="dxa" w:w="481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w:t>
            </w:r>
          </w:p>
        </w:tc>
        <w:tc>
          <w:tcPr>
            <w:tcW w:type="dxa" w:w="241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d_eta</w:t>
            </w:r>
          </w:p>
        </w:tc>
        <w:tc>
          <w:tcPr>
            <w:tcW w:type="dxa" w:w="240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d_std
</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3D discretisation</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±0.1 pp</w:t>
            </w:r>
          </w:p>
        </w:tc>
        <w:tc>
          <w:tcPr>
            <w:tcW w:type="dxa" w:w="24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 pp
</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ROM axial after Richardson</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&lt;0.1 pp</w:t>
            </w:r>
          </w:p>
        </w:tc>
        <w:tc>
          <w:tcPr>
            <w:tcW w:type="dxa" w:w="24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 pp
</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ROM model form (alternating)</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 pp</w:t>
            </w:r>
          </w:p>
        </w:tc>
        <w:tc>
          <w:tcPr>
            <w:tcW w:type="dxa" w:w="24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 pp
</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 band 4.46-4.65</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 pp</w:t>
            </w:r>
          </w:p>
        </w:tc>
        <w:tc>
          <w:tcPr>
            <w:tcW w:type="dxa" w:w="24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 pp
</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entry Nu at 4.5 g/s</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&lt;0.1%</w:t>
            </w:r>
          </w:p>
        </w:tc>
        <w:tc>
          <w:tcPr>
            <w:tcW w:type="dxa" w:w="24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&lt;=2.1% of std
</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glazing/radiation model</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not quantified</w:t>
            </w:r>
          </w:p>
        </w:tc>
        <w:tc>
          <w:tcPr>
            <w:tcW w:type="dxa" w:w="24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not quantified</w:t>
            </w:r>
          </w:p>
        </w:tc>
      </w:tr>
    </w:tbl>
    <w:p>
      <w:pPr>
        <w:keepNext/>
        <w:spacing w:after="60" w:before="120"/>
      </w:pPr>
      <w:r>
        <w:rPr>
          <w:i/>
          <w:iCs/>
          <w:color w:val="4A4D52"/>
          <w:sz w:val="17"/>
          <w:szCs w:val="17"/>
        </w:rPr>
        <w:t xml:space="preserve">Table 7.2. Uncertainty budget of the campaign results</w:t>
      </w:r>
    </w:p>
    <w:p>
      <w:pPr>
        <w:pStyle w:val="Heading2"/>
        <w:keepNext/>
        <w:spacing w:after="120" w:before="280"/>
      </w:pPr>
      <w:r>
        <w:t xml:space="preserve">7.3 V7 — matched mean plate temperature</w:t>
      </w:r>
    </w:p>
    <w:p>
      <w:pPr>
        <w:spacing w:after="120" w:before="0" w:line="276" w:lineRule="auto"/>
        <w:jc w:val="both"/>
      </w:pPr>
      <w:r>
        <w:t xml:space="preserve">Question: at the same mean plate temperature, does alternating flow reduce R4 = mean(T⁴) and raise efficiency? Method: as-built geometry, 2.75 g/s, G 800 W/m², T_amb 303.15 K, wind 3 m/s. For each target the inlet temperature was found by a secant search until the plate mean matched within 0.001 K. All runs converged with energy error &lt; 0.5 %.</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191"/>
        <w:gridCol w:w="1624"/>
        <w:gridCol w:w="1733"/>
        <w:gridCol w:w="975"/>
        <w:gridCol w:w="866"/>
        <w:gridCol w:w="866"/>
        <w:gridCol w:w="1516"/>
        <w:gridCol w:w="867"/>
      </w:tblGrid>
      <w:tr>
        <w:trPr>
          <w:cantSplit/>
          <w:tblHeader/>
        </w:trPr>
        <w:tc>
          <w:tcPr>
            <w:tcW w:type="dxa" w:w="11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Target plate mean (K)</w:t>
            </w:r>
          </w:p>
        </w:tc>
        <w:tc>
          <w:tcPr>
            <w:tcW w:type="dxa" w:w="162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Inlet needed alt / par (K)</w:t>
            </w:r>
          </w:p>
        </w:tc>
        <w:tc>
          <w:tcPr>
            <w:tcW w:type="dxa" w:w="173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η alt / par</w:t>
            </w:r>
          </w:p>
        </w:tc>
        <w:tc>
          <w:tcPr>
            <w:tcW w:type="dxa" w:w="97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Δη (points)</w:t>
            </w:r>
          </w:p>
        </w:tc>
        <w:tc>
          <w:tcPr>
            <w:tcW w:type="dxa" w:w="86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ΔR4 (%)</w:t>
            </w:r>
          </w:p>
        </w:tc>
        <w:tc>
          <w:tcPr>
            <w:tcW w:type="dxa" w:w="86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ΔT_R4 (K)</w:t>
            </w:r>
          </w:p>
        </w:tc>
        <w:tc>
          <w:tcPr>
            <w:tcW w:type="dxa" w:w="151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Plate std alt / par (K)</w:t>
            </w:r>
          </w:p>
        </w:tc>
        <w:tc>
          <w:tcPr>
            <w:tcW w:type="dxa" w:w="86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Δ std (%)</w:t>
            </w:r>
          </w:p>
        </w:tc>
      </w:tr>
      <w:tr>
        <w:trPr>
          <w:cantSplit/>
          <w:tblHeader w:val="false"/>
        </w:trPr>
        <w:tc>
          <w:tcPr>
            <w:tcW w:type="dxa" w:w="11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320</w:t>
            </w:r>
          </w:p>
        </w:tc>
        <w:tc>
          <w:tcPr>
            <w:tcW w:type="dxa" w:w="162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291.3 / 306.7</w:t>
            </w:r>
          </w:p>
        </w:tc>
        <w:tc>
          <w:tcPr>
            <w:tcW w:type="dxa" w:w="17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0.59889 / 0.59890</w:t>
            </w:r>
          </w:p>
        </w:tc>
        <w:tc>
          <w:tcPr>
            <w:tcW w:type="dxa" w:w="97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-0.0012</w:t>
            </w:r>
          </w:p>
        </w:tc>
        <w:tc>
          <w:tcPr>
            <w:tcW w:type="dxa" w:w="8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0.036</w:t>
            </w:r>
          </w:p>
        </w:tc>
        <w:tc>
          <w:tcPr>
            <w:tcW w:type="dxa" w:w="8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0.029</w:t>
            </w:r>
          </w:p>
        </w:tc>
        <w:tc>
          <w:tcPr>
            <w:tcW w:type="dxa" w:w="151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6.68 / 6.17</w:t>
            </w:r>
          </w:p>
        </w:tc>
        <w:tc>
          <w:tcPr>
            <w:tcW w:type="dxa" w:w="86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+8.3</w:t>
            </w:r>
          </w:p>
        </w:tc>
      </w:tr>
      <w:tr>
        <w:trPr>
          <w:cantSplit/>
          <w:tblHeader w:val="false"/>
        </w:trPr>
        <w:tc>
          <w:tcPr>
            <w:tcW w:type="dxa" w:w="11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330</w:t>
            </w:r>
          </w:p>
        </w:tc>
        <w:tc>
          <w:tcPr>
            <w:tcW w:type="dxa" w:w="162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302.4 / 317.3</w:t>
            </w:r>
          </w:p>
        </w:tc>
        <w:tc>
          <w:tcPr>
            <w:tcW w:type="dxa" w:w="17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0.57245 / 0.57246</w:t>
            </w:r>
          </w:p>
        </w:tc>
        <w:tc>
          <w:tcPr>
            <w:tcW w:type="dxa" w:w="97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-0.0013</w:t>
            </w:r>
          </w:p>
        </w:tc>
        <w:tc>
          <w:tcPr>
            <w:tcW w:type="dxa" w:w="86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0.038</w:t>
            </w:r>
          </w:p>
        </w:tc>
        <w:tc>
          <w:tcPr>
            <w:tcW w:type="dxa" w:w="86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0.032</w:t>
            </w:r>
          </w:p>
        </w:tc>
        <w:tc>
          <w:tcPr>
            <w:tcW w:type="dxa" w:w="151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6.49 / 5.90</w:t>
            </w:r>
          </w:p>
        </w:tc>
        <w:tc>
          <w:tcPr>
            <w:tcW w:type="dxa" w:w="86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+9.9</w:t>
            </w:r>
          </w:p>
        </w:tc>
      </w:tr>
      <w:tr>
        <w:trPr>
          <w:cantSplit/>
          <w:tblHeader w:val="false"/>
        </w:trPr>
        <w:tc>
          <w:tcPr>
            <w:tcW w:type="dxa" w:w="11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340</w:t>
            </w:r>
          </w:p>
        </w:tc>
        <w:tc>
          <w:tcPr>
            <w:tcW w:type="dxa" w:w="162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313.5 / 328.0</w:t>
            </w:r>
          </w:p>
        </w:tc>
        <w:tc>
          <w:tcPr>
            <w:tcW w:type="dxa" w:w="17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0.54567 / 0.54568</w:t>
            </w:r>
          </w:p>
        </w:tc>
        <w:tc>
          <w:tcPr>
            <w:tcW w:type="dxa" w:w="97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-0.0014</w:t>
            </w:r>
          </w:p>
        </w:tc>
        <w:tc>
          <w:tcPr>
            <w:tcW w:type="dxa" w:w="8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0.037</w:t>
            </w:r>
          </w:p>
        </w:tc>
        <w:tc>
          <w:tcPr>
            <w:tcW w:type="dxa" w:w="86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0.032</w:t>
            </w:r>
          </w:p>
        </w:tc>
        <w:tc>
          <w:tcPr>
            <w:tcW w:type="dxa" w:w="151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6.26 / 5.63</w:t>
            </w:r>
          </w:p>
        </w:tc>
        <w:tc>
          <w:tcPr>
            <w:tcW w:type="dxa" w:w="86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+11.2</w:t>
            </w:r>
          </w:p>
        </w:tc>
      </w:tr>
    </w:tbl>
    <w:p>
      <w:pPr>
        <w:keepNext/>
        <w:spacing w:after="60" w:before="120"/>
      </w:pPr>
      <w:r>
        <w:rPr>
          <w:i/>
          <w:iCs/>
          <w:color w:val="4A4D52"/>
          <w:sz w:val="17"/>
          <w:szCs w:val="17"/>
        </w:rPr>
        <w:t xml:space="preserve">Table 7.3. V7 results</w:t>
      </w:r>
    </w:p>
    <w:p>
      <w:pPr>
        <w:pStyle w:val="ListParagraph"/>
        <w:numPr>
          <w:ilvl w:val="0"/>
          <w:numId w:val="2"/>
        </w:numPr>
        <w:spacing w:after="80" w:before="0" w:line="276" w:lineRule="auto"/>
      </w:pPr>
      <w:r>
        <w:t xml:space="preserve">Efficiency is the same (difference 0.001 points).</w:t>
      </w:r>
    </w:p>
    <w:p>
      <w:pPr>
        <w:pStyle w:val="ListParagraph"/>
        <w:numPr>
          <w:ilvl w:val="0"/>
          <w:numId w:val="2"/>
        </w:numPr>
        <w:spacing w:after="80" w:before="0" w:line="276" w:lineRule="auto"/>
      </w:pPr>
      <w:r>
        <w:t xml:space="preserve">R4 is not reduced; it rises 0.04 %.</w:t>
      </w:r>
    </w:p>
    <w:p>
      <w:pPr>
        <w:pStyle w:val="ListParagraph"/>
        <w:numPr>
          <w:ilvl w:val="0"/>
          <w:numId w:val="2"/>
        </w:numPr>
        <w:spacing w:after="80" w:before="0" w:line="276" w:lineRule="auto"/>
      </w:pPr>
      <w:r>
        <w:t xml:space="preserve">Alternating is 8–11 % less uniform at the design flow.</w:t>
      </w:r>
    </w:p>
    <w:p>
      <w:pPr>
        <w:pStyle w:val="ListParagraph"/>
        <w:numPr>
          <w:ilvl w:val="0"/>
          <w:numId w:val="2"/>
        </w:numPr>
        <w:spacing w:after="80" w:before="0" w:line="276" w:lineRule="auto"/>
      </w:pPr>
      <w:r>
        <w:t xml:space="preserve">Alternating needs an inlet ≈ 15 K cooler for the same plate temperature. That is why it is less efficient at equal inputs.</w:t>
      </w:r>
    </w:p>
    <w:p>
      <w:pPr>
        <w:pStyle w:val="Heading1"/>
        <w:pageBreakBefore/>
        <w:spacing w:after="160" w:before="0"/>
      </w:pPr>
      <w:r>
        <w:t xml:space="preserve">8. Stage 3 — ANN surrogate</w:t>
      </w:r>
    </w:p>
    <w:p>
      <w:pPr>
        <w:pStyle w:val="ListParagraph"/>
        <w:numPr>
          <w:ilvl w:val="0"/>
          <w:numId w:val="2"/>
        </w:numPr>
        <w:spacing w:after="80" w:before="0" w:line="276" w:lineRule="auto"/>
      </w:pPr>
      <w:r>
        <w:t xml:space="preserve">Inputs (9): G_T, T_in, T_amb, wind, total flow, bridge, grading ratio, grading exponent, arrangement flag.</w:t>
      </w:r>
    </w:p>
    <w:p>
      <w:pPr>
        <w:pStyle w:val="ListParagraph"/>
        <w:numPr>
          <w:ilvl w:val="0"/>
          <w:numId w:val="2"/>
        </w:numPr>
        <w:spacing w:after="80" w:before="0" w:line="276" w:lineRule="auto"/>
      </w:pPr>
      <w:r>
        <w:t xml:space="preserve">Targets: η, plate std, ln(Δp), mean plate temperature.</w:t>
      </w:r>
    </w:p>
    <w:p>
      <w:pPr>
        <w:pStyle w:val="ListParagraph"/>
        <w:numPr>
          <w:ilvl w:val="0"/>
          <w:numId w:val="2"/>
        </w:numPr>
        <w:spacing w:after="80" w:before="0" w:line="276" w:lineRule="auto"/>
      </w:pPr>
      <w:r>
        <w:t xml:space="preserve">Split: 240 training / 60 test, stratified by arrangement, seed 42. Test set never used in tuning.</w:t>
      </w:r>
    </w:p>
    <w:p>
      <w:pPr>
        <w:pStyle w:val="ListParagraph"/>
        <w:numPr>
          <w:ilvl w:val="0"/>
          <w:numId w:val="2"/>
        </w:numPr>
        <w:spacing w:after="80" w:before="0" w:line="276" w:lineRule="auto"/>
      </w:pPr>
      <w:r>
        <w:t xml:space="preserve">Tuning: 5-fold cross-validation over 6 architectures × 5 L2 penalties; tanh; L-BFGS; standardised data.</w:t>
      </w:r>
    </w:p>
    <w:p>
      <w:pPr>
        <w:pStyle w:val="ListParagraph"/>
        <w:numPr>
          <w:ilvl w:val="0"/>
          <w:numId w:val="2"/>
        </w:numPr>
        <w:spacing w:after="80" w:before="0" w:line="276" w:lineRule="auto"/>
      </w:pPr>
      <w:r>
        <w:t xml:space="preserve">Final: ensemble of 10 networks; baselines: linear regression and Gaussian-process regression.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886"/>
        <w:gridCol w:w="1781"/>
        <w:gridCol w:w="1048"/>
        <w:gridCol w:w="1257"/>
        <w:gridCol w:w="1152"/>
        <w:gridCol w:w="1257"/>
        <w:gridCol w:w="1257"/>
      </w:tblGrid>
      <w:tr>
        <w:trPr>
          <w:cantSplit/>
          <w:tblHeader/>
        </w:trPr>
        <w:tc>
          <w:tcPr>
            <w:tcW w:type="dxa" w:w="188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Target</w:t>
            </w:r>
          </w:p>
        </w:tc>
        <w:tc>
          <w:tcPr>
            <w:tcW w:type="dxa" w:w="178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Architecture, α</w:t>
            </w:r>
          </w:p>
        </w:tc>
        <w:tc>
          <w:tcPr>
            <w:tcW w:type="dxa" w:w="104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CV R²</w:t>
            </w:r>
          </w:p>
        </w:tc>
        <w:tc>
          <w:tcPr>
            <w:tcW w:type="dxa" w:w="125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ANN test R²</w:t>
            </w:r>
          </w:p>
        </w:tc>
        <w:tc>
          <w:tcPr>
            <w:tcW w:type="dxa" w:w="115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ANN MAPE %</w:t>
            </w:r>
          </w:p>
        </w:tc>
        <w:tc>
          <w:tcPr>
            <w:tcW w:type="dxa" w:w="125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GPR test R²</w:t>
            </w:r>
          </w:p>
        </w:tc>
        <w:tc>
          <w:tcPr>
            <w:tcW w:type="dxa" w:w="125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Linear test R²</w:t>
            </w:r>
          </w:p>
        </w:tc>
      </w:tr>
      <w:tr>
        <w:trPr>
          <w:cantSplit/>
          <w:tblHeader w:val="false"/>
        </w:trPr>
        <w:tc>
          <w:tcPr>
            <w:tcW w:type="dxa" w:w="18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eta</w:t>
            </w:r>
          </w:p>
        </w:tc>
        <w:tc>
          <w:tcPr>
            <w:tcW w:type="dxa" w:w="17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[64, 32], 0.01</w:t>
            </w:r>
          </w:p>
        </w:tc>
        <w:tc>
          <w:tcPr>
            <w:tcW w:type="dxa" w:w="1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0.9994</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0.9997</w:t>
            </w:r>
          </w:p>
        </w:tc>
        <w:tc>
          <w:tcPr>
            <w:tcW w:type="dxa" w:w="11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0.14</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0.9999</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0.8897</w:t>
            </w:r>
          </w:p>
        </w:tc>
      </w:tr>
      <w:tr>
        <w:trPr>
          <w:cantSplit/>
          <w:tblHeader w:val="false"/>
        </w:trPr>
        <w:tc>
          <w:tcPr>
            <w:tcW w:type="dxa" w:w="18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plate_std_K</w:t>
            </w:r>
          </w:p>
        </w:tc>
        <w:tc>
          <w:tcPr>
            <w:tcW w:type="dxa" w:w="17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 32], 0.01</w:t>
            </w:r>
          </w:p>
        </w:tc>
        <w:tc>
          <w:tcPr>
            <w:tcW w:type="dxa" w:w="1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0.9993</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0.9996</w:t>
            </w:r>
          </w:p>
        </w:tc>
        <w:tc>
          <w:tcPr>
            <w:tcW w:type="dxa" w:w="11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0.53</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1.0000</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0.8519</w:t>
            </w:r>
          </w:p>
        </w:tc>
      </w:tr>
      <w:tr>
        <w:trPr>
          <w:cantSplit/>
          <w:tblHeader w:val="false"/>
        </w:trPr>
        <w:tc>
          <w:tcPr>
            <w:tcW w:type="dxa" w:w="18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log_dp_Pa</w:t>
            </w:r>
          </w:p>
        </w:tc>
        <w:tc>
          <w:tcPr>
            <w:tcW w:type="dxa" w:w="17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[64, 32], 0.01</w:t>
            </w:r>
          </w:p>
        </w:tc>
        <w:tc>
          <w:tcPr>
            <w:tcW w:type="dxa" w:w="1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0.9992</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0.9998</w:t>
            </w:r>
          </w:p>
        </w:tc>
        <w:tc>
          <w:tcPr>
            <w:tcW w:type="dxa" w:w="11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0.92</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1.0000</w:t>
            </w:r>
          </w:p>
        </w:tc>
        <w:tc>
          <w:tcPr>
            <w:tcW w:type="dxa" w:w="12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0.9747</w:t>
            </w:r>
          </w:p>
        </w:tc>
      </w:tr>
      <w:tr>
        <w:trPr>
          <w:cantSplit/>
          <w:tblHeader w:val="false"/>
        </w:trPr>
        <w:tc>
          <w:tcPr>
            <w:tcW w:type="dxa" w:w="18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T_plate_mean_K</w:t>
            </w:r>
          </w:p>
        </w:tc>
        <w:tc>
          <w:tcPr>
            <w:tcW w:type="dxa" w:w="17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[64, 32], 0.01</w:t>
            </w:r>
          </w:p>
        </w:tc>
        <w:tc>
          <w:tcPr>
            <w:tcW w:type="dxa" w:w="1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0.9992</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0.9994</w:t>
            </w:r>
          </w:p>
        </w:tc>
        <w:tc>
          <w:tcPr>
            <w:tcW w:type="dxa" w:w="11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0.06</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1.0000</w:t>
            </w:r>
          </w:p>
        </w:tc>
        <w:tc>
          <w:tcPr>
            <w:tcW w:type="dxa" w:w="12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0.8813</w:t>
            </w:r>
          </w:p>
        </w:tc>
      </w:tr>
    </w:tbl>
    <w:p>
      <w:pPr>
        <w:keepNext/>
        <w:spacing w:after="60" w:before="120"/>
      </w:pPr>
      <w:r>
        <w:rPr>
          <w:i/>
          <w:iCs/>
          <w:color w:val="4A4D52"/>
          <w:sz w:val="17"/>
          <w:szCs w:val="17"/>
        </w:rPr>
        <w:t xml:space="preserve">Table 8.1. Surrogate accuracy on the 60 held-out cases</w:t>
      </w:r>
    </w:p>
    <w:p>
      <w:pPr>
        <w:spacing w:after="40" w:before="160"/>
        <w:jc w:val="center"/>
      </w:pPr>
      <w:r>
        <w:drawing>
          <wp:inline distT="0" distB="0" distL="0" distR="0">
            <wp:extent cx="612457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24575" cy="1676400"/>
                    </a:xfrm>
                    <a:prstGeom prst="rect">
                      <a:avLst/>
                    </a:prstGeom>
                  </pic:spPr>
                </pic:pic>
              </a:graphicData>
            </a:graphic>
          </wp:inline>
        </w:drawing>
      </w:r>
    </w:p>
    <w:p>
      <w:pPr>
        <w:spacing w:after="240" w:before="60"/>
        <w:jc w:val="center"/>
      </w:pPr>
      <w:r>
        <w:rPr>
          <w:i/>
          <w:iCs/>
          <w:color w:val="4A4D52"/>
          <w:sz w:val="17"/>
          <w:szCs w:val="17"/>
        </w:rPr>
        <w:t xml:space="preserve">Figure 8.1. Parity plots, test set</w:t>
      </w:r>
    </w:p>
    <w:p>
      <w:pPr>
        <w:spacing w:after="120" w:before="0" w:line="276" w:lineRule="auto"/>
        <w:jc w:val="both"/>
      </w:pPr>
      <w:r>
        <w:t xml:space="preserve">SHAP: efficiency is driven by T_in, T_amb, flow and arrangement; the three geometric inputs are about two orders of magnitude weaker. Plate uniformity is driven by flow and irradiance; pressure drop by grading ratio and flow.</w:t>
      </w:r>
    </w:p>
    <w:p>
      <w:pPr>
        <w:spacing w:after="40" w:before="160"/>
        <w:jc w:val="center"/>
      </w:pPr>
      <w:r>
        <w:drawing>
          <wp:inline distT="0" distB="0" distL="0" distR="0">
            <wp:extent cx="612457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24575" cy="1790700"/>
                    </a:xfrm>
                    <a:prstGeom prst="rect">
                      <a:avLst/>
                    </a:prstGeom>
                  </pic:spPr>
                </pic:pic>
              </a:graphicData>
            </a:graphic>
          </wp:inline>
        </w:drawing>
      </w:r>
    </w:p>
    <w:p>
      <w:pPr>
        <w:spacing w:after="240" w:before="60"/>
        <w:jc w:val="center"/>
      </w:pPr>
      <w:r>
        <w:rPr>
          <w:i/>
          <w:iCs/>
          <w:color w:val="4A4D52"/>
          <w:sz w:val="17"/>
          <w:szCs w:val="17"/>
        </w:rPr>
        <w:t xml:space="preserve">Figure 8.2. SHAP importance</w:t>
      </w:r>
    </w:p>
    <w:p>
      <w:pPr>
        <w:pStyle w:val="Heading1"/>
        <w:pageBreakBefore/>
        <w:spacing w:after="160" w:before="0"/>
      </w:pPr>
      <w:r>
        <w:t xml:space="preserve">9. Stage 5 — NSGA-II optimisation</w:t>
      </w:r>
    </w:p>
    <w:p>
      <w:pPr>
        <w:pStyle w:val="ListParagraph"/>
        <w:numPr>
          <w:ilvl w:val="0"/>
          <w:numId w:val="2"/>
        </w:numPr>
        <w:spacing w:after="80" w:before="0" w:line="276" w:lineRule="auto"/>
      </w:pPr>
      <w:r>
        <w:t xml:space="preserve">Variables: flow 1.0–4.5 g/s, bridge 20–37 mm, G 0.35–1.0, λ 0.5–2.0; each arrangement separately.</w:t>
      </w:r>
    </w:p>
    <w:p>
      <w:pPr>
        <w:pStyle w:val="ListParagraph"/>
        <w:numPr>
          <w:ilvl w:val="0"/>
          <w:numId w:val="2"/>
        </w:numPr>
        <w:spacing w:after="80" w:before="0" w:line="276" w:lineRule="auto"/>
      </w:pPr>
      <w:r>
        <w:t xml:space="preserve">Objectives: maximise η, minimise plate std, minimise pumping power.</w:t>
      </w:r>
    </w:p>
    <w:p>
      <w:pPr>
        <w:pStyle w:val="ListParagraph"/>
        <w:numPr>
          <w:ilvl w:val="0"/>
          <w:numId w:val="2"/>
        </w:numPr>
        <w:spacing w:after="80" w:before="0" w:line="276" w:lineRule="auto"/>
      </w:pPr>
      <w:r>
        <w:t xml:space="preserve">Reference point (ENGINEERING_ASSUMPTION, Berhampur clear-sky noon): G 800 W/m², T_in 313.15 K, T_amb 303.15 K, wind 3 m/s.</w:t>
      </w:r>
    </w:p>
    <w:p>
      <w:pPr>
        <w:pStyle w:val="ListParagraph"/>
        <w:numPr>
          <w:ilvl w:val="0"/>
          <w:numId w:val="2"/>
        </w:numPr>
        <w:spacing w:after="80" w:before="0" w:line="276" w:lineRule="auto"/>
      </w:pPr>
      <w:r>
        <w:t xml:space="preserve">Population 200, 250 generations, seed 7.</w:t>
      </w:r>
    </w:p>
    <w:p>
      <w:pPr>
        <w:spacing w:after="40" w:before="160"/>
        <w:jc w:val="center"/>
      </w:pPr>
      <w:r>
        <w:drawing>
          <wp:inline distT="0" distB="0" distL="0" distR="0">
            <wp:extent cx="612457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24575" cy="2295525"/>
                    </a:xfrm>
                    <a:prstGeom prst="rect">
                      <a:avLst/>
                    </a:prstGeom>
                  </pic:spPr>
                </pic:pic>
              </a:graphicData>
            </a:graphic>
          </wp:inline>
        </w:drawing>
      </w:r>
    </w:p>
    <w:p>
      <w:pPr>
        <w:spacing w:after="240" w:before="60"/>
        <w:jc w:val="center"/>
      </w:pPr>
      <w:r>
        <w:rPr>
          <w:i/>
          <w:iCs/>
          <w:color w:val="4A4D52"/>
          <w:sz w:val="17"/>
          <w:szCs w:val="17"/>
        </w:rPr>
        <w:t xml:space="preserve">Figure 9.1. Pareto fronts with GRAIL-CHT verification points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233"/>
        <w:gridCol w:w="897"/>
        <w:gridCol w:w="784"/>
        <w:gridCol w:w="897"/>
        <w:gridCol w:w="784"/>
        <w:gridCol w:w="672"/>
        <w:gridCol w:w="897"/>
        <w:gridCol w:w="897"/>
        <w:gridCol w:w="897"/>
        <w:gridCol w:w="897"/>
        <w:gridCol w:w="783"/>
      </w:tblGrid>
      <w:tr>
        <w:trPr>
          <w:cantSplit/>
          <w:tblHeader/>
        </w:trPr>
        <w:tc>
          <w:tcPr>
            <w:tcW w:type="dxa" w:w="123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89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Pick</w:t>
            </w:r>
          </w:p>
        </w:tc>
        <w:tc>
          <w:tcPr>
            <w:tcW w:type="dxa" w:w="78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Flow g/s</w:t>
            </w:r>
          </w:p>
        </w:tc>
        <w:tc>
          <w:tcPr>
            <w:tcW w:type="dxa" w:w="89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Bridge mm</w:t>
            </w:r>
          </w:p>
        </w:tc>
        <w:tc>
          <w:tcPr>
            <w:tcW w:type="dxa" w:w="78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w:t>
            </w:r>
          </w:p>
        </w:tc>
        <w:tc>
          <w:tcPr>
            <w:tcW w:type="dxa" w:w="67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λ</w:t>
            </w:r>
          </w:p>
        </w:tc>
        <w:tc>
          <w:tcPr>
            <w:tcW w:type="dxa" w:w="89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η ANN</w:t>
            </w:r>
          </w:p>
        </w:tc>
        <w:tc>
          <w:tcPr>
            <w:tcW w:type="dxa" w:w="89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η CHT</w:t>
            </w:r>
          </w:p>
        </w:tc>
        <w:tc>
          <w:tcPr>
            <w:tcW w:type="dxa" w:w="89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std ANN K</w:t>
            </w:r>
          </w:p>
        </w:tc>
        <w:tc>
          <w:tcPr>
            <w:tcW w:type="dxa" w:w="89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std CHT K</w:t>
            </w:r>
          </w:p>
        </w:tc>
        <w:tc>
          <w:tcPr>
            <w:tcW w:type="dxa" w:w="78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Δp err %</w:t>
            </w:r>
          </w:p>
        </w:tc>
      </w:tr>
      <w:tr>
        <w:trPr>
          <w:cantSplit/>
          <w:tblHeader w:val="false"/>
        </w:trPr>
        <w:tc>
          <w:tcPr>
            <w:tcW w:type="dxa" w:w="12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max_eta</w:t>
            </w:r>
          </w:p>
        </w:tc>
        <w:tc>
          <w:tcPr>
            <w:tcW w:type="dxa" w:w="7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4.49</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31.9</w:t>
            </w:r>
          </w:p>
        </w:tc>
        <w:tc>
          <w:tcPr>
            <w:tcW w:type="dxa" w:w="7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0.998</w:t>
            </w:r>
          </w:p>
        </w:tc>
        <w:tc>
          <w:tcPr>
            <w:tcW w:type="dxa" w:w="67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0.50</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0.5783</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0.5784</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2.87</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2.83</w:t>
            </w:r>
          </w:p>
        </w:tc>
        <w:tc>
          <w:tcPr>
            <w:tcW w:type="dxa" w:w="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5.8</w:t>
            </w:r>
          </w:p>
        </w:tc>
      </w:tr>
      <w:tr>
        <w:trPr>
          <w:cantSplit/>
          <w:tblHeader w:val="false"/>
        </w:trPr>
        <w:tc>
          <w:tcPr>
            <w:tcW w:type="dxa" w:w="12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min_std</w:t>
            </w:r>
          </w:p>
        </w:tc>
        <w:tc>
          <w:tcPr>
            <w:tcW w:type="dxa" w:w="7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4.49</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37.0</w:t>
            </w:r>
          </w:p>
        </w:tc>
        <w:tc>
          <w:tcPr>
            <w:tcW w:type="dxa" w:w="7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0.708</w:t>
            </w:r>
          </w:p>
        </w:tc>
        <w:tc>
          <w:tcPr>
            <w:tcW w:type="dxa" w:w="67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1.35</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0.5773</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0.5782</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2.83</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2.87</w:t>
            </w:r>
          </w:p>
        </w:tc>
        <w:tc>
          <w:tcPr>
            <w:tcW w:type="dxa" w:w="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w:t>
            </w:r>
          </w:p>
        </w:tc>
      </w:tr>
      <w:tr>
        <w:trPr>
          <w:cantSplit/>
          <w:tblHeader w:val="false"/>
        </w:trPr>
        <w:tc>
          <w:tcPr>
            <w:tcW w:type="dxa" w:w="12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knee</w:t>
            </w:r>
          </w:p>
        </w:tc>
        <w:tc>
          <w:tcPr>
            <w:tcW w:type="dxa" w:w="7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3.28</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31.0</w:t>
            </w:r>
          </w:p>
        </w:tc>
        <w:tc>
          <w:tcPr>
            <w:tcW w:type="dxa" w:w="7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0.997</w:t>
            </w:r>
          </w:p>
        </w:tc>
        <w:tc>
          <w:tcPr>
            <w:tcW w:type="dxa" w:w="67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1.21</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0.5599</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0.5601</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4.80</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4.82</w:t>
            </w:r>
          </w:p>
        </w:tc>
        <w:tc>
          <w:tcPr>
            <w:tcW w:type="dxa" w:w="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w:t>
            </w:r>
          </w:p>
        </w:tc>
      </w:tr>
      <w:tr>
        <w:trPr>
          <w:cantSplit/>
          <w:tblHeader w:val="false"/>
        </w:trPr>
        <w:tc>
          <w:tcPr>
            <w:tcW w:type="dxa" w:w="12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max_eta</w:t>
            </w:r>
          </w:p>
        </w:tc>
        <w:tc>
          <w:tcPr>
            <w:tcW w:type="dxa" w:w="7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4.49</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33.9</w:t>
            </w:r>
          </w:p>
        </w:tc>
        <w:tc>
          <w:tcPr>
            <w:tcW w:type="dxa" w:w="7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0.998</w:t>
            </w:r>
          </w:p>
        </w:tc>
        <w:tc>
          <w:tcPr>
            <w:tcW w:type="dxa" w:w="67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0.50</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0.5940</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0.5943</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3.71</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3.76</w:t>
            </w:r>
          </w:p>
        </w:tc>
        <w:tc>
          <w:tcPr>
            <w:tcW w:type="dxa" w:w="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5.3</w:t>
            </w:r>
          </w:p>
        </w:tc>
      </w:tr>
      <w:tr>
        <w:trPr>
          <w:cantSplit/>
          <w:tblHeader w:val="false"/>
        </w:trPr>
        <w:tc>
          <w:tcPr>
            <w:tcW w:type="dxa" w:w="12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min_std</w:t>
            </w:r>
          </w:p>
        </w:tc>
        <w:tc>
          <w:tcPr>
            <w:tcW w:type="dxa" w:w="7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4.49</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37.0</w:t>
            </w:r>
          </w:p>
        </w:tc>
        <w:tc>
          <w:tcPr>
            <w:tcW w:type="dxa" w:w="7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0.998</w:t>
            </w:r>
          </w:p>
        </w:tc>
        <w:tc>
          <w:tcPr>
            <w:tcW w:type="dxa" w:w="67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2.00</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0.5931</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0.5944</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3.68</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3.76</w:t>
            </w:r>
          </w:p>
        </w:tc>
        <w:tc>
          <w:tcPr>
            <w:tcW w:type="dxa" w:w="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-0.3</w:t>
            </w:r>
          </w:p>
        </w:tc>
      </w:tr>
      <w:tr>
        <w:trPr>
          <w:cantSplit/>
          <w:tblHeader w:val="false"/>
        </w:trPr>
        <w:tc>
          <w:tcPr>
            <w:tcW w:type="dxa" w:w="12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knee</w:t>
            </w:r>
          </w:p>
        </w:tc>
        <w:tc>
          <w:tcPr>
            <w:tcW w:type="dxa" w:w="7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2.94</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27.6</w:t>
            </w:r>
          </w:p>
        </w:tc>
        <w:tc>
          <w:tcPr>
            <w:tcW w:type="dxa" w:w="7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0.998</w:t>
            </w:r>
          </w:p>
        </w:tc>
        <w:tc>
          <w:tcPr>
            <w:tcW w:type="dxa" w:w="67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1.40</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0.5852</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0.5850</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5.64</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5.64</w:t>
            </w:r>
          </w:p>
        </w:tc>
        <w:tc>
          <w:tcPr>
            <w:tcW w:type="dxa" w:w="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w:t>
            </w:r>
          </w:p>
        </w:tc>
      </w:tr>
      <w:tr>
        <w:trPr>
          <w:cantSplit/>
          <w:tblHeader w:val="false"/>
        </w:trPr>
        <w:tc>
          <w:tcPr>
            <w:tcW w:type="dxa" w:w="12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as_built</w:t>
            </w:r>
          </w:p>
        </w:tc>
        <w:tc>
          <w:tcPr>
            <w:tcW w:type="dxa" w:w="7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2.75</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31.3</w:t>
            </w:r>
          </w:p>
        </w:tc>
        <w:tc>
          <w:tcPr>
            <w:tcW w:type="dxa" w:w="7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0.540</w:t>
            </w:r>
          </w:p>
        </w:tc>
        <w:tc>
          <w:tcPr>
            <w:tcW w:type="dxa" w:w="67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1.00</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0.5467</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0.5466</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6.29</w:t>
            </w:r>
          </w:p>
        </w:tc>
        <w:tc>
          <w:tcPr>
            <w:tcW w:type="dxa" w:w="89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6.27</w:t>
            </w:r>
          </w:p>
        </w:tc>
        <w:tc>
          <w:tcPr>
            <w:tcW w:type="dxa" w:w="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-0.2</w:t>
            </w:r>
          </w:p>
        </w:tc>
      </w:tr>
      <w:tr>
        <w:trPr>
          <w:cantSplit/>
          <w:tblHeader w:val="false"/>
        </w:trPr>
        <w:tc>
          <w:tcPr>
            <w:tcW w:type="dxa" w:w="12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as_built</w:t>
            </w:r>
          </w:p>
        </w:tc>
        <w:tc>
          <w:tcPr>
            <w:tcW w:type="dxa" w:w="7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2.75</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31.3</w:t>
            </w:r>
          </w:p>
        </w:tc>
        <w:tc>
          <w:tcPr>
            <w:tcW w:type="dxa" w:w="7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0.540</w:t>
            </w:r>
          </w:p>
        </w:tc>
        <w:tc>
          <w:tcPr>
            <w:tcW w:type="dxa" w:w="67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0.5834</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0.5830</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6.00</w:t>
            </w:r>
          </w:p>
        </w:tc>
        <w:tc>
          <w:tcPr>
            <w:tcW w:type="dxa" w:w="89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6.01</w:t>
            </w:r>
          </w:p>
        </w:tc>
        <w:tc>
          <w:tcPr>
            <w:tcW w:type="dxa" w:w="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w:t>
            </w:r>
          </w:p>
        </w:tc>
      </w:tr>
    </w:tbl>
    <w:p>
      <w:pPr>
        <w:keepNext/>
        <w:spacing w:after="60" w:before="120"/>
      </w:pPr>
      <w:r>
        <w:rPr>
          <w:i/>
          <w:iCs/>
          <w:color w:val="4A4D52"/>
          <w:sz w:val="17"/>
          <w:szCs w:val="17"/>
        </w:rPr>
        <w:t xml:space="preserve">Table 9.1. Selected optima and as-built design re-run in GRAIL-CHT</w:t>
      </w:r>
    </w:p>
    <w:p>
      <w:pPr>
        <w:spacing w:after="120" w:before="0" w:line="276" w:lineRule="auto"/>
        <w:jc w:val="both"/>
      </w:pPr>
      <w:r>
        <w:t xml:space="preserve">All points converged; the surrogate holds to 0.13 efficiency points. The optimum sits at the top flow bound with G → 1 (straight channel). Channel pumping power is below 0.1 mW everywhere, so manifold and pump losses (not modelled) dominate in practice.</w:t>
      </w:r>
    </w:p>
    <w:p>
      <w:pPr>
        <w:pStyle w:val="Heading1"/>
        <w:pageBreakBefore/>
        <w:spacing w:after="160" w:before="0"/>
      </w:pPr>
      <w:r>
        <w:t xml:space="preserve">10. Stage 6 — Efficiency curves and system model</w:t>
      </w:r>
    </w:p>
    <w:p>
      <w:pPr>
        <w:pStyle w:val="Heading2"/>
        <w:keepNext/>
        <w:spacing w:after="120" w:before="280"/>
      </w:pPr>
      <w:r>
        <w:t xml:space="preserve">10.1 Virtual steady-state test (ISO 9806 form)</w:t>
      </w:r>
    </w:p>
    <w:p>
      <w:pPr>
        <w:spacing w:after="120" w:before="0" w:line="276" w:lineRule="auto"/>
        <w:jc w:val="both"/>
      </w:pPr>
      <w:r>
        <w:t xml:space="preserve">As-built geometry (bridge 31.29 mm, G 0.539935, λ 1.0) at the design flow 2.75 g/s. Fit form: q = η0 G − a1 ΔT − a2 ΔT², ΔT = T_m − T_amb on the mean fluid temperature, on the 0.528 m² aperture and incident irradiance.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635"/>
        <w:gridCol w:w="741"/>
        <w:gridCol w:w="847"/>
        <w:gridCol w:w="847"/>
        <w:gridCol w:w="635"/>
        <w:gridCol w:w="847"/>
        <w:gridCol w:w="847"/>
        <w:gridCol w:w="847"/>
        <w:gridCol w:w="847"/>
        <w:gridCol w:w="953"/>
        <w:gridCol w:w="847"/>
        <w:gridCol w:w="745"/>
      </w:tblGrid>
      <w:tr>
        <w:trPr>
          <w:cantSplit/>
          <w:tblHeader/>
        </w:trPr>
        <w:tc>
          <w:tcPr>
            <w:tcW w:type="dxa" w:w="63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w:t>
            </w:r>
          </w:p>
        </w:tc>
        <w:tc>
          <w:tcPr>
            <w:tcW w:type="dxa" w:w="74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 W/m²</w:t>
            </w:r>
          </w:p>
        </w:tc>
        <w:tc>
          <w:tcPr>
            <w:tcW w:type="dxa" w:w="8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T_in K</w:t>
            </w:r>
          </w:p>
        </w:tc>
        <w:tc>
          <w:tcPr>
            <w:tcW w:type="dxa" w:w="8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T_amb K</w:t>
            </w:r>
          </w:p>
        </w:tc>
        <w:tc>
          <w:tcPr>
            <w:tcW w:type="dxa" w:w="63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Wind m/s</w:t>
            </w:r>
          </w:p>
        </w:tc>
        <w:tc>
          <w:tcPr>
            <w:tcW w:type="dxa" w:w="8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T_out K</w:t>
            </w:r>
          </w:p>
        </w:tc>
        <w:tc>
          <w:tcPr>
            <w:tcW w:type="dxa" w:w="8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ΔT_fluid K</w:t>
            </w:r>
          </w:p>
        </w:tc>
        <w:tc>
          <w:tcPr>
            <w:tcW w:type="dxa" w:w="8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Q_u W</w:t>
            </w:r>
          </w:p>
        </w:tc>
        <w:tc>
          <w:tcPr>
            <w:tcW w:type="dxa" w:w="8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η</w:t>
            </w:r>
          </w:p>
        </w:tc>
        <w:tc>
          <w:tcPr>
            <w:tcW w:type="dxa" w:w="95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Plate mean K</w:t>
            </w:r>
          </w:p>
        </w:tc>
        <w:tc>
          <w:tcPr>
            <w:tcW w:type="dxa" w:w="8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Plate std K</w:t>
            </w:r>
          </w:p>
        </w:tc>
        <w:tc>
          <w:tcPr>
            <w:tcW w:type="dxa" w:w="74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Δp Pa</w:t>
            </w:r>
          </w:p>
        </w:tc>
      </w:tr>
      <w:tr>
        <w:trPr>
          <w:cantSplit/>
          <w:tblHeader w:val="false"/>
        </w:trPr>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7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500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293.15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307.06</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13.91</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159.9</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0.6056</w:t>
            </w:r>
          </w:p>
        </w:tc>
        <w:tc>
          <w:tcPr>
            <w:tcW w:type="dxa" w:w="9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311.23</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4.20</w:t>
            </w:r>
          </w:p>
        </w:tc>
        <w:tc>
          <w:tcPr>
            <w:tcW w:type="dxa" w:w="7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37.4</w:t>
            </w:r>
          </w:p>
        </w:tc>
      </w:tr>
      <w:tr>
        <w:trPr>
          <w:cantSplit/>
          <w:tblHeader w:val="false"/>
        </w:trPr>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7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308.15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320.76</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12.61</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145.0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0.5491</w:t>
            </w:r>
          </w:p>
        </w:tc>
        <w:tc>
          <w:tcPr>
            <w:tcW w:type="dxa" w:w="9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324.70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3.89</w:t>
            </w:r>
          </w:p>
        </w:tc>
        <w:tc>
          <w:tcPr>
            <w:tcW w:type="dxa" w:w="7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27.9</w:t>
            </w:r>
          </w:p>
        </w:tc>
      </w:tr>
      <w:tr>
        <w:trPr>
          <w:cantSplit/>
          <w:tblHeader w:val="false"/>
        </w:trPr>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7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500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323.15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334.45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11.30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129.9</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0.4921</w:t>
            </w:r>
          </w:p>
        </w:tc>
        <w:tc>
          <w:tcPr>
            <w:tcW w:type="dxa" w:w="9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338.08</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3.54</w:t>
            </w:r>
          </w:p>
        </w:tc>
        <w:tc>
          <w:tcPr>
            <w:tcW w:type="dxa" w:w="7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21.7</w:t>
            </w:r>
          </w:p>
        </w:tc>
      </w:tr>
      <w:tr>
        <w:trPr>
          <w:cantSplit/>
          <w:tblHeader w:val="false"/>
        </w:trPr>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7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332.15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342.66</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10.51</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120.8</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0.4575</w:t>
            </w:r>
          </w:p>
        </w:tc>
        <w:tc>
          <w:tcPr>
            <w:tcW w:type="dxa" w:w="9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346.08</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3.32</w:t>
            </w:r>
          </w:p>
        </w:tc>
        <w:tc>
          <w:tcPr>
            <w:tcW w:type="dxa" w:w="7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19.1</w:t>
            </w:r>
          </w:p>
        </w:tc>
      </w:tr>
      <w:tr>
        <w:trPr>
          <w:cantSplit/>
          <w:tblHeader w:val="false"/>
        </w:trPr>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7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293.15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317.64</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24.49</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0.5923</w:t>
            </w:r>
          </w:p>
        </w:tc>
        <w:tc>
          <w:tcPr>
            <w:tcW w:type="dxa" w:w="9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325.18</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7.48</w:t>
            </w:r>
          </w:p>
        </w:tc>
        <w:tc>
          <w:tcPr>
            <w:tcW w:type="dxa" w:w="7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33.4</w:t>
            </w:r>
          </w:p>
        </w:tc>
      </w:tr>
      <w:tr>
        <w:trPr>
          <w:cantSplit/>
          <w:tblHeader w:val="false"/>
        </w:trPr>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7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308.15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331.31</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23.16</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266.2</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0.5603</w:t>
            </w:r>
          </w:p>
        </w:tc>
        <w:tc>
          <w:tcPr>
            <w:tcW w:type="dxa" w:w="9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338.68</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7.21</w:t>
            </w:r>
          </w:p>
        </w:tc>
        <w:tc>
          <w:tcPr>
            <w:tcW w:type="dxa" w:w="7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25.3</w:t>
            </w:r>
          </w:p>
        </w:tc>
      </w:tr>
      <w:tr>
        <w:trPr>
          <w:cantSplit/>
          <w:tblHeader w:val="false"/>
        </w:trPr>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7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323.15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344.97</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21.82</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250.9</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0.5279</w:t>
            </w:r>
          </w:p>
        </w:tc>
        <w:tc>
          <w:tcPr>
            <w:tcW w:type="dxa" w:w="9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352.09</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6.89</w:t>
            </w:r>
          </w:p>
        </w:tc>
        <w:tc>
          <w:tcPr>
            <w:tcW w:type="dxa" w:w="7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20.0</w:t>
            </w:r>
          </w:p>
        </w:tc>
      </w:tr>
      <w:tr>
        <w:trPr>
          <w:cantSplit/>
          <w:tblHeader w:val="false"/>
        </w:trPr>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7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332.15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353.16</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21.01</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241.5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0.5083</w:t>
            </w:r>
          </w:p>
        </w:tc>
        <w:tc>
          <w:tcPr>
            <w:tcW w:type="dxa" w:w="9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360.09</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6.67</w:t>
            </w:r>
          </w:p>
        </w:tc>
        <w:tc>
          <w:tcPr>
            <w:tcW w:type="dxa" w:w="7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17.7</w:t>
            </w:r>
          </w:p>
        </w:tc>
      </w:tr>
      <w:tr>
        <w:trPr>
          <w:cantSplit/>
          <w:tblHeader w:val="false"/>
        </w:trPr>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7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323.15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345.05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21.90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251.7</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0.5297</w:t>
            </w:r>
          </w:p>
        </w:tc>
        <w:tc>
          <w:tcPr>
            <w:tcW w:type="dxa" w:w="9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352.19</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6.92</w:t>
            </w:r>
          </w:p>
        </w:tc>
        <w:tc>
          <w:tcPr>
            <w:tcW w:type="dxa" w:w="7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20.0</w:t>
            </w:r>
          </w:p>
        </w:tc>
      </w:tr>
      <w:tr>
        <w:trPr>
          <w:cantSplit/>
          <w:tblHeader w:val="false"/>
        </w:trPr>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7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323.15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4.9</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344.95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21.80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250.6</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0.5273</w:t>
            </w:r>
          </w:p>
        </w:tc>
        <w:tc>
          <w:tcPr>
            <w:tcW w:type="dxa" w:w="9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352.05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6.88</w:t>
            </w:r>
          </w:p>
        </w:tc>
        <w:tc>
          <w:tcPr>
            <w:tcW w:type="dxa" w:w="7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20.0</w:t>
            </w:r>
          </w:p>
        </w:tc>
      </w:tr>
      <w:tr>
        <w:trPr>
          <w:cantSplit/>
          <w:tblHeader w:val="false"/>
        </w:trPr>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7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500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293.15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307.93</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14.78</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169.9</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0.6434</w:t>
            </w:r>
          </w:p>
        </w:tc>
        <w:tc>
          <w:tcPr>
            <w:tcW w:type="dxa" w:w="9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302.10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4.14</w:t>
            </w:r>
          </w:p>
        </w:tc>
        <w:tc>
          <w:tcPr>
            <w:tcW w:type="dxa" w:w="7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37.0</w:t>
            </w:r>
          </w:p>
        </w:tc>
      </w:tr>
      <w:tr>
        <w:trPr>
          <w:cantSplit/>
          <w:tblHeader w:val="false"/>
        </w:trPr>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7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308.15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321.58</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13.43</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154.4</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0.5847</w:t>
            </w:r>
          </w:p>
        </w:tc>
        <w:tc>
          <w:tcPr>
            <w:tcW w:type="dxa" w:w="9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316.25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3.77</w:t>
            </w:r>
          </w:p>
        </w:tc>
        <w:tc>
          <w:tcPr>
            <w:tcW w:type="dxa" w:w="7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27.7</w:t>
            </w:r>
          </w:p>
        </w:tc>
      </w:tr>
      <w:tr>
        <w:trPr>
          <w:cantSplit/>
          <w:tblHeader w:val="false"/>
        </w:trPr>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7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500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323.15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335.21</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12.06</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138.6</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0.5250</w:t>
            </w:r>
          </w:p>
        </w:tc>
        <w:tc>
          <w:tcPr>
            <w:tcW w:type="dxa" w:w="9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330.40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3.39</w:t>
            </w:r>
          </w:p>
        </w:tc>
        <w:tc>
          <w:tcPr>
            <w:tcW w:type="dxa" w:w="7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21.6</w:t>
            </w:r>
          </w:p>
        </w:tc>
      </w:tr>
      <w:tr>
        <w:trPr>
          <w:cantSplit/>
          <w:tblHeader w:val="false"/>
        </w:trPr>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7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332.15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343.37</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11.22</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129.0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0.4886</w:t>
            </w:r>
          </w:p>
        </w:tc>
        <w:tc>
          <w:tcPr>
            <w:tcW w:type="dxa" w:w="9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338.89</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3.15</w:t>
            </w:r>
          </w:p>
        </w:tc>
        <w:tc>
          <w:tcPr>
            <w:tcW w:type="dxa" w:w="7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w:t>
            </w:r>
          </w:p>
        </w:tc>
      </w:tr>
      <w:tr>
        <w:trPr>
          <w:cantSplit/>
          <w:tblHeader w:val="false"/>
        </w:trPr>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7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700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332.15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288.15</w:t>
            </w:r>
          </w:p>
        </w:tc>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346.62</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14.47</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166.3</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0.4500</w:t>
            </w:r>
          </w:p>
        </w:tc>
        <w:tc>
          <w:tcPr>
            <w:tcW w:type="dxa" w:w="9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351.36</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4.58</w:t>
            </w:r>
          </w:p>
        </w:tc>
        <w:tc>
          <w:tcPr>
            <w:tcW w:type="dxa" w:w="7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18.5</w:t>
            </w:r>
          </w:p>
        </w:tc>
      </w:tr>
      <w:tr>
        <w:trPr>
          <w:cantSplit/>
          <w:tblHeader w:val="false"/>
        </w:trPr>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7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293.15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319.20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26.05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299.5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0.6302</w:t>
            </w:r>
          </w:p>
        </w:tc>
        <w:tc>
          <w:tcPr>
            <w:tcW w:type="dxa" w:w="9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308.90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7.29</w:t>
            </w:r>
          </w:p>
        </w:tc>
        <w:tc>
          <w:tcPr>
            <w:tcW w:type="dxa" w:w="7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32.8</w:t>
            </w:r>
          </w:p>
        </w:tc>
      </w:tr>
      <w:tr>
        <w:trPr>
          <w:cantSplit/>
          <w:tblHeader w:val="false"/>
        </w:trPr>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7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308.15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332.84</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24.69</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283.9</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0.5974</w:t>
            </w:r>
          </w:p>
        </w:tc>
        <w:tc>
          <w:tcPr>
            <w:tcW w:type="dxa" w:w="9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323.02</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6.92</w:t>
            </w:r>
          </w:p>
        </w:tc>
        <w:tc>
          <w:tcPr>
            <w:tcW w:type="dxa" w:w="7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25.0</w:t>
            </w:r>
          </w:p>
        </w:tc>
      </w:tr>
      <w:tr>
        <w:trPr>
          <w:cantSplit/>
          <w:tblHeader w:val="false"/>
        </w:trPr>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7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323.15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346.46</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23.31</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268.0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0.5639</w:t>
            </w:r>
          </w:p>
        </w:tc>
        <w:tc>
          <w:tcPr>
            <w:tcW w:type="dxa" w:w="9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337.16</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6.55</w:t>
            </w:r>
          </w:p>
        </w:tc>
        <w:tc>
          <w:tcPr>
            <w:tcW w:type="dxa" w:w="7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19.8</w:t>
            </w:r>
          </w:p>
        </w:tc>
      </w:tr>
      <w:tr>
        <w:trPr>
          <w:cantSplit/>
          <w:tblHeader w:val="false"/>
        </w:trPr>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7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332.15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354.62</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22.47</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258.3</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0.5436</w:t>
            </w:r>
          </w:p>
        </w:tc>
        <w:tc>
          <w:tcPr>
            <w:tcW w:type="dxa" w:w="9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345.63</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6.31</w:t>
            </w:r>
          </w:p>
        </w:tc>
        <w:tc>
          <w:tcPr>
            <w:tcW w:type="dxa" w:w="7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17.5</w:t>
            </w:r>
          </w:p>
        </w:tc>
      </w:tr>
      <w:tr>
        <w:trPr>
          <w:cantSplit/>
          <w:tblHeader w:val="false"/>
        </w:trPr>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7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323.15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346.48</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23.33</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268.1</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0.5643</w:t>
            </w:r>
          </w:p>
        </w:tc>
        <w:tc>
          <w:tcPr>
            <w:tcW w:type="dxa" w:w="9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337.15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6.55</w:t>
            </w:r>
          </w:p>
        </w:tc>
        <w:tc>
          <w:tcPr>
            <w:tcW w:type="dxa" w:w="7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19.8</w:t>
            </w:r>
          </w:p>
        </w:tc>
      </w:tr>
      <w:tr>
        <w:trPr>
          <w:cantSplit/>
          <w:tblHeader w:val="false"/>
        </w:trPr>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7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900</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323.15</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303.15</w:t>
            </w:r>
          </w:p>
        </w:tc>
        <w:tc>
          <w:tcPr>
            <w:tcW w:type="dxa" w:w="6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4.9</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346.46</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23.31</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267.9</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0.5638</w:t>
            </w:r>
          </w:p>
        </w:tc>
        <w:tc>
          <w:tcPr>
            <w:tcW w:type="dxa" w:w="9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337.16</w:t>
            </w:r>
          </w:p>
        </w:tc>
        <w:tc>
          <w:tcPr>
            <w:tcW w:type="dxa" w:w="8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6.54</w:t>
            </w:r>
          </w:p>
        </w:tc>
        <w:tc>
          <w:tcPr>
            <w:tcW w:type="dxa" w:w="7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19.8</w:t>
            </w:r>
          </w:p>
        </w:tc>
      </w:tr>
      <w:tr>
        <w:trPr>
          <w:cantSplit/>
          <w:tblHeader w:val="false"/>
        </w:trPr>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7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700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332.15</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288.15</w:t>
            </w:r>
          </w:p>
        </w:tc>
        <w:tc>
          <w:tcPr>
            <w:tcW w:type="dxa" w:w="6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347.61</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15.46</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177.7</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0.4809</w:t>
            </w:r>
          </w:p>
        </w:tc>
        <w:tc>
          <w:tcPr>
            <w:tcW w:type="dxa" w:w="9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341.43</w:t>
            </w:r>
          </w:p>
        </w:tc>
        <w:tc>
          <w:tcPr>
            <w:tcW w:type="dxa" w:w="8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4.35</w:t>
            </w:r>
          </w:p>
        </w:tc>
        <w:tc>
          <w:tcPr>
            <w:tcW w:type="dxa" w:w="7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18.4</w:t>
            </w:r>
          </w:p>
        </w:tc>
      </w:tr>
    </w:tbl>
    <w:p>
      <w:pPr>
        <w:keepNext/>
        <w:spacing w:after="60" w:before="120"/>
      </w:pPr>
      <w:r>
        <w:rPr>
          <w:i/>
          <w:iCs/>
          <w:color w:val="4A4D52"/>
          <w:sz w:val="17"/>
          <w:szCs w:val="17"/>
        </w:rPr>
        <w:t xml:space="preserve">Table 10.1. Virtual test matrix (22 GRAIL-CHT runs)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701"/>
        <w:gridCol w:w="1134"/>
        <w:gridCol w:w="1247"/>
        <w:gridCol w:w="1247"/>
        <w:gridCol w:w="1587"/>
        <w:gridCol w:w="2722"/>
      </w:tblGrid>
      <w:tr>
        <w:trPr>
          <w:cantSplit/>
          <w:tblHeader/>
        </w:trPr>
        <w:tc>
          <w:tcPr>
            <w:tcW w:type="dxa" w:w="170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113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η0</w:t>
            </w:r>
          </w:p>
        </w:tc>
        <w:tc>
          <w:tcPr>
            <w:tcW w:type="dxa" w:w="12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a1 W/m²K</w:t>
            </w:r>
          </w:p>
        </w:tc>
        <w:tc>
          <w:tcPr>
            <w:tcW w:type="dxa" w:w="12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a2 W/m²K²</w:t>
            </w:r>
          </w:p>
        </w:tc>
        <w:tc>
          <w:tcPr>
            <w:tcW w:type="dxa" w:w="158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Fit RMS (points)</w:t>
            </w:r>
          </w:p>
        </w:tc>
        <w:tc>
          <w:tcPr>
            <w:tcW w:type="dxa" w:w="272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Held-out errors (points)</w:t>
            </w:r>
          </w:p>
        </w:tc>
      </w:tr>
      <w:tr>
        <w:trPr>
          <w:cantSplit/>
          <w:tblHeader w:val="false"/>
        </w:trPr>
        <w:tc>
          <w:tcPr>
            <w:tcW w:type="dxa" w:w="170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113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0.5966</w:t>
            </w:r>
          </w:p>
        </w:tc>
        <w:tc>
          <w:tcPr>
            <w:tcW w:type="dxa" w:w="12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2.004</w:t>
            </w:r>
          </w:p>
        </w:tc>
        <w:tc>
          <w:tcPr>
            <w:tcW w:type="dxa" w:w="12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0.00038</w:t>
            </w:r>
          </w:p>
        </w:tc>
        <w:tc>
          <w:tcPr>
            <w:tcW w:type="dxa" w:w="158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0.15</w:t>
            </w:r>
          </w:p>
        </w:tc>
        <w:tc>
          <w:tcPr>
            <w:tcW w:type="dxa" w:w="272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0.24, -0.01, 0.15</w:t>
            </w:r>
          </w:p>
        </w:tc>
      </w:tr>
      <w:tr>
        <w:trPr>
          <w:cantSplit/>
          <w:tblHeader w:val="false"/>
        </w:trPr>
        <w:tc>
          <w:tcPr>
            <w:tcW w:type="dxa" w:w="170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113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0.6368</w:t>
            </w:r>
          </w:p>
        </w:tc>
        <w:tc>
          <w:tcPr>
            <w:tcW w:type="dxa" w:w="12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2.104</w:t>
            </w:r>
          </w:p>
        </w:tc>
        <w:tc>
          <w:tcPr>
            <w:tcW w:type="dxa" w:w="12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0.00000</w:t>
            </w:r>
          </w:p>
        </w:tc>
        <w:tc>
          <w:tcPr>
            <w:tcW w:type="dxa" w:w="158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0.23</w:t>
            </w:r>
          </w:p>
        </w:tc>
        <w:tc>
          <w:tcPr>
            <w:tcW w:type="dxa" w:w="272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0.15, 0.10, -0.04</w:t>
            </w:r>
          </w:p>
        </w:tc>
      </w:tr>
    </w:tbl>
    <w:p>
      <w:pPr>
        <w:keepNext/>
        <w:spacing w:after="60" w:before="120"/>
      </w:pPr>
      <w:r>
        <w:rPr>
          <w:i/>
          <w:iCs/>
          <w:color w:val="4A4D52"/>
          <w:sz w:val="17"/>
          <w:szCs w:val="17"/>
        </w:rPr>
        <w:t xml:space="preserve">Table 10.2. Efficiency correlations</w:t>
      </w:r>
    </w:p>
    <w:p>
      <w:pPr>
        <w:spacing w:after="120" w:before="0" w:line="276" w:lineRule="auto"/>
        <w:jc w:val="both"/>
      </w:pPr>
      <w:r>
        <w:t xml:space="preserve">Parallel's free fit gave a2 = −0.0006 (unphysical); refitted with a2 = 0. The fit covers T_m − T_amb from −3 to 40 K. Wind changes η by &lt; 0.3 points. With the measured in-collector VIP conductivity, a1 would be 2.3–2.5 W/m²K (Section 14).</w:t>
      </w:r>
    </w:p>
    <w:p>
      <w:pPr>
        <w:spacing w:after="40" w:before="160"/>
        <w:jc w:val="center"/>
      </w:pPr>
      <w:r>
        <w:drawing>
          <wp:inline distT="0" distB="0" distL="0" distR="0">
            <wp:extent cx="380047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00475" cy="2457450"/>
                    </a:xfrm>
                    <a:prstGeom prst="rect">
                      <a:avLst/>
                    </a:prstGeom>
                  </pic:spPr>
                </pic:pic>
              </a:graphicData>
            </a:graphic>
          </wp:inline>
        </w:drawing>
      </w:r>
    </w:p>
    <w:p>
      <w:pPr>
        <w:spacing w:after="240" w:before="60"/>
        <w:jc w:val="center"/>
      </w:pPr>
      <w:r>
        <w:rPr>
          <w:i/>
          <w:iCs/>
          <w:color w:val="4A4D52"/>
          <w:sz w:val="17"/>
          <w:szCs w:val="17"/>
        </w:rPr>
        <w:t xml:space="preserve">Figure 10.1. Efficiency curves</w:t>
      </w:r>
    </w:p>
    <w:p>
      <w:pPr>
        <w:pStyle w:val="Heading2"/>
        <w:keepNext/>
        <w:spacing w:after="120" w:before="280"/>
      </w:pPr>
      <w:r>
        <w:t xml:space="preserve">10.2 Dynamic collector–tank model</w:t>
      </w:r>
    </w:p>
    <w:p>
      <w:pPr>
        <w:spacing w:after="120" w:before="0" w:line="276" w:lineRule="auto"/>
      </w:pPr>
      <w:r>
        <w:rPr>
          <w:rFonts w:ascii="Consolas" w:cs="Consolas" w:eastAsia="Consolas" w:hAnsi="Consolas"/>
          <w:sz w:val="19"/>
          <w:szCs w:val="19"/>
        </w:rPr>
        <w:t xml:space="preserve">Collector:  C dTc/dt = A [η0 G_eff − a1 (Tc − Ta) − a2 (Tc − Ta)²] − g2 (Tc − Tt) P</w:t>
      </w:r>
    </w:p>
    <w:p>
      <w:pPr>
        <w:spacing w:after="120" w:before="0" w:line="276" w:lineRule="auto"/>
      </w:pPr>
      <w:r>
        <w:rPr>
          <w:rFonts w:ascii="Consolas" w:cs="Consolas" w:eastAsia="Consolas" w:hAnsi="Consolas"/>
          <w:sz w:val="19"/>
          <w:szCs w:val="19"/>
        </w:rPr>
        <w:t xml:space="preserve">Tank:       M cp dTt/dt = g2 (Tc − Tt) P − UA (Tt − Ta) − m_t cp (Tt − Tmains)</w:t>
      </w:r>
    </w:p>
    <w:p>
      <w:pPr>
        <w:spacing w:after="120" w:before="0" w:line="276" w:lineRule="auto"/>
      </w:pPr>
      <w:r>
        <w:rPr>
          <w:rFonts w:ascii="Consolas" w:cs="Consolas" w:eastAsia="Consolas" w:hAnsi="Consolas"/>
          <w:sz w:val="19"/>
          <w:szCs w:val="19"/>
        </w:rPr>
        <w:t xml:space="preserve">Valve:      m_t = m_draw · min(1, (Tset − Tmains)/(Tt − Tmains)); electric top-up to Tset</w:t>
      </w:r>
    </w:p>
    <w:p>
      <w:pPr>
        <w:spacing w:after="120" w:before="0" w:line="276" w:lineRule="auto"/>
      </w:pPr>
      <w:r>
        <w:rPr>
          <w:rFonts w:ascii="Consolas" w:cs="Consolas" w:eastAsia="Consolas" w:hAnsi="Consolas"/>
          <w:sz w:val="19"/>
          <w:szCs w:val="19"/>
        </w:rPr>
        <w:t xml:space="preserve">Pump P:     on at Tc − Tt ≥ 7 K, off at ≤ 2 K; off while Tt &gt; 358.15 K</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Parameter</w:t>
            </w:r>
          </w:p>
        </w:tc>
        <w:tc>
          <w:tcPr>
            <w:tcW w:type="dxa" w:w="67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tilt_deg</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19.3</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azimuth_deg</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180</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transposition</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Hay-Davies, albedo 0.20</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iam</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Kb = 1 - b0 (1/cos(theta) - 1), b0 = 0.10, Kb = 0 beyond 80 deg; diffuse Kd = Kb(60 deg) = 0.90</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n_modules</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aperture_m2</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2.112</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mdot_per_module_kg_s</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0.00275</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C_eff_J_m2K</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33500</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C_eff_basis</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 sheets 4.87 + channel water 7.46 + PCM sensible only 16.0 + 0.5x(glass 6.72 + TIM 0.36 + VIP 3.2) kJ/m2K; PCM latent heat NOT modelled (deferred)</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tank_kg</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tank_UA_W_K</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T_set_K</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318.15</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daily_draw_kg</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100</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draw_profile</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40% 06-08h, 20% 12-13h, 40% 18-20h IST</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mains</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trailing 24-h mean ambient</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pump_on_dT_K</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pump_off_dT_K</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tank_max_K</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358.15</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pump_power_W</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geyser_efficiency</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0.95</w:t>
            </w:r>
          </w:p>
        </w:tc>
      </w:tr>
    </w:tbl>
    <w:p>
      <w:pPr>
        <w:keepNext/>
        <w:spacing w:after="60" w:before="120"/>
      </w:pPr>
      <w:r>
        <w:rPr>
          <w:i/>
          <w:iCs/>
          <w:color w:val="4A4D52"/>
          <w:sz w:val="17"/>
          <w:szCs w:val="17"/>
        </w:rPr>
        <w:t xml:space="preserve">Table 10.3. System-model inputs (base case record; recommended size is 2 modules)</w:t>
      </w:r>
    </w:p>
    <w:p>
      <w:pPr>
        <w:spacing w:after="120" w:before="0" w:line="276" w:lineRule="auto"/>
        <w:jc w:val="both"/>
      </w:pPr>
      <w:r>
        <w:t xml:space="preserve">Other fixed values: C = 33.5 kJ/m²K × A; g2 = 2 ṁ cp with ṁ = 0.00275 kg/s per module.</w:t>
      </w:r>
    </w:p>
    <w:p>
      <w:pPr>
        <w:pStyle w:val="Heading1"/>
        <w:pageBreakBefore/>
        <w:spacing w:after="160" w:before="0"/>
      </w:pPr>
      <w:r>
        <w:t xml:space="preserve">11. Stage 7 — Annual performance and economics, Berhampur</w:t>
      </w:r>
    </w:p>
    <w:p>
      <w:pPr>
        <w:pStyle w:val="Heading2"/>
        <w:keepNext/>
        <w:spacing w:after="120" w:before="280"/>
      </w:pPr>
      <w:r>
        <w:t xml:space="preserve">11.1 Weather</w:t>
      </w:r>
    </w:p>
    <w:p>
      <w:pPr>
        <w:pStyle w:val="ListParagraph"/>
        <w:numPr>
          <w:ilvl w:val="0"/>
          <w:numId w:val="2"/>
        </w:numPr>
        <w:spacing w:after="80" w:before="0" w:line="276" w:lineRule="auto"/>
      </w:pPr>
      <w:r>
        <w:t xml:space="preserve">PVGIS TMY, 19.313° N, 84.810° E, 2005–2023, 8,760 hours.</w:t>
      </w:r>
    </w:p>
    <w:p>
      <w:pPr>
        <w:pStyle w:val="ListParagraph"/>
        <w:numPr>
          <w:ilvl w:val="0"/>
          <w:numId w:val="2"/>
        </w:numPr>
        <w:spacing w:after="80" w:before="0" w:line="276" w:lineRule="auto"/>
      </w:pPr>
      <w:r>
        <w:t xml:space="preserve">Time alignment tested: GHI = DNI cos z + DHI closes to 0.17 W/m² at the stated UTC stamp (14.3 W/m² with a half-hour shift).</w:t>
      </w:r>
    </w:p>
    <w:p>
      <w:pPr>
        <w:pStyle w:val="ListParagraph"/>
        <w:numPr>
          <w:ilvl w:val="0"/>
          <w:numId w:val="2"/>
        </w:numPr>
        <w:spacing w:after="80" w:before="0" w:line="276" w:lineRule="auto"/>
      </w:pPr>
      <w:r>
        <w:t xml:space="preserve">Plane: 19.3° tilt, south, Hay-Davies, albedo 0.2 → POA 1976 kWh/m²/yr (after incidence-angle modifier 1855); GHI 1865.</w:t>
      </w:r>
    </w:p>
    <w:p>
      <w:pPr>
        <w:pStyle w:val="ListParagraph"/>
        <w:numPr>
          <w:ilvl w:val="0"/>
          <w:numId w:val="2"/>
        </w:numPr>
        <w:spacing w:after="80" w:before="0" w:line="276" w:lineRule="auto"/>
      </w:pPr>
      <w:r>
        <w:t xml:space="preserve">Cross-check at 35° tilt: 1,935 vs 1,965 kWh/m²/yr in the PVGIS PV report (−1.5 %).</w:t>
      </w:r>
    </w:p>
    <w:p>
      <w:pPr>
        <w:pStyle w:val="Heading2"/>
        <w:keepNext/>
        <w:spacing w:after="120" w:before="280"/>
      </w:pPr>
      <w:r>
        <w:t xml:space="preserve">11.2 Collector-only yield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121"/>
        <w:gridCol w:w="1569"/>
        <w:gridCol w:w="1681"/>
        <w:gridCol w:w="1681"/>
        <w:gridCol w:w="1793"/>
        <w:gridCol w:w="1793"/>
      </w:tblGrid>
      <w:tr>
        <w:trPr>
          <w:cantSplit/>
          <w:tblHeader/>
        </w:trPr>
        <w:tc>
          <w:tcPr>
            <w:tcW w:type="dxa" w:w="112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Month</w:t>
            </w:r>
          </w:p>
        </w:tc>
        <w:tc>
          <w:tcPr>
            <w:tcW w:type="dxa" w:w="156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POA kWh/m²</w:t>
            </w:r>
          </w:p>
        </w:tc>
        <w:tc>
          <w:tcPr>
            <w:tcW w:type="dxa" w:w="168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Parallel @40 °C</w:t>
            </w:r>
          </w:p>
        </w:tc>
        <w:tc>
          <w:tcPr>
            <w:tcW w:type="dxa" w:w="168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Parallel @60 °C</w:t>
            </w:r>
          </w:p>
        </w:tc>
        <w:tc>
          <w:tcPr>
            <w:tcW w:type="dxa" w:w="179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Alternating @40 °C</w:t>
            </w:r>
          </w:p>
        </w:tc>
        <w:tc>
          <w:tcPr>
            <w:tcW w:type="dxa" w:w="179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Alternating @60 °C</w:t>
            </w:r>
          </w:p>
        </w:tc>
      </w:tr>
      <w:tr>
        <w:trPr>
          <w:cantSplit/>
          <w:tblHeader w:val="false"/>
        </w:trPr>
        <w:tc>
          <w:tcPr>
            <w:tcW w:type="dxa" w:w="11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Jan</w:t>
            </w:r>
          </w:p>
        </w:tc>
        <w:tc>
          <w:tcPr>
            <w:tcW w:type="dxa" w:w="15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185.7</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96.2</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84.6</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90.1</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79.0</w:t>
            </w:r>
          </w:p>
        </w:tc>
      </w:tr>
      <w:tr>
        <w:trPr>
          <w:cantSplit/>
          <w:tblHeader w:val="false"/>
        </w:trPr>
        <w:tc>
          <w:tcPr>
            <w:tcW w:type="dxa" w:w="11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Feb</w:t>
            </w:r>
          </w:p>
        </w:tc>
        <w:tc>
          <w:tcPr>
            <w:tcW w:type="dxa" w:w="156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185.1</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97.8</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86.5</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91.7</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80.8</w:t>
            </w:r>
          </w:p>
        </w:tc>
      </w:tr>
      <w:tr>
        <w:trPr>
          <w:cantSplit/>
          <w:tblHeader w:val="false"/>
        </w:trPr>
        <w:tc>
          <w:tcPr>
            <w:tcW w:type="dxa" w:w="11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Mar</w:t>
            </w:r>
          </w:p>
        </w:tc>
        <w:tc>
          <w:tcPr>
            <w:tcW w:type="dxa" w:w="15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205.6</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109.3</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96.7</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102.5</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90.4</w:t>
            </w:r>
          </w:p>
        </w:tc>
      </w:tr>
      <w:tr>
        <w:trPr>
          <w:cantSplit/>
          <w:tblHeader w:val="false"/>
        </w:trPr>
        <w:tc>
          <w:tcPr>
            <w:tcW w:type="dxa" w:w="11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Apr</w:t>
            </w:r>
          </w:p>
        </w:tc>
        <w:tc>
          <w:tcPr>
            <w:tcW w:type="dxa" w:w="156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186.9</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99.1</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86.5</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92.9</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80.8</w:t>
            </w:r>
          </w:p>
        </w:tc>
      </w:tr>
      <w:tr>
        <w:trPr>
          <w:cantSplit/>
          <w:tblHeader w:val="false"/>
        </w:trPr>
        <w:tc>
          <w:tcPr>
            <w:tcW w:type="dxa" w:w="11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May</w:t>
            </w:r>
          </w:p>
        </w:tc>
        <w:tc>
          <w:tcPr>
            <w:tcW w:type="dxa" w:w="15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177.8</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95.1</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81.6</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89.2</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76.2</w:t>
            </w:r>
          </w:p>
        </w:tc>
      </w:tr>
      <w:tr>
        <w:trPr>
          <w:cantSplit/>
          <w:tblHeader w:val="false"/>
        </w:trPr>
        <w:tc>
          <w:tcPr>
            <w:tcW w:type="dxa" w:w="11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Jun</w:t>
            </w:r>
          </w:p>
        </w:tc>
        <w:tc>
          <w:tcPr>
            <w:tcW w:type="dxa" w:w="156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149.8</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78.4</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65.8</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73.5</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61.5</w:t>
            </w:r>
          </w:p>
        </w:tc>
      </w:tr>
      <w:tr>
        <w:trPr>
          <w:cantSplit/>
          <w:tblHeader w:val="false"/>
        </w:trPr>
        <w:tc>
          <w:tcPr>
            <w:tcW w:type="dxa" w:w="11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Jul</w:t>
            </w:r>
          </w:p>
        </w:tc>
        <w:tc>
          <w:tcPr>
            <w:tcW w:type="dxa" w:w="15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124.6</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61.5</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48.9</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57.6</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45.5</w:t>
            </w:r>
          </w:p>
        </w:tc>
      </w:tr>
      <w:tr>
        <w:trPr>
          <w:cantSplit/>
          <w:tblHeader w:val="false"/>
        </w:trPr>
        <w:tc>
          <w:tcPr>
            <w:tcW w:type="dxa" w:w="11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Aug</w:t>
            </w:r>
          </w:p>
        </w:tc>
        <w:tc>
          <w:tcPr>
            <w:tcW w:type="dxa" w:w="156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134.4</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67.8</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55.0</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63.5</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51.2</w:t>
            </w:r>
          </w:p>
        </w:tc>
      </w:tr>
      <w:tr>
        <w:trPr>
          <w:cantSplit/>
          <w:tblHeader w:val="false"/>
        </w:trPr>
        <w:tc>
          <w:tcPr>
            <w:tcW w:type="dxa" w:w="11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Sep</w:t>
            </w:r>
          </w:p>
        </w:tc>
        <w:tc>
          <w:tcPr>
            <w:tcW w:type="dxa" w:w="15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136.7</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70.3</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57.9</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65.8</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54.0</w:t>
            </w:r>
          </w:p>
        </w:tc>
      </w:tr>
      <w:tr>
        <w:trPr>
          <w:cantSplit/>
          <w:tblHeader w:val="false"/>
        </w:trPr>
        <w:tc>
          <w:tcPr>
            <w:tcW w:type="dxa" w:w="11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Oct</w:t>
            </w:r>
          </w:p>
        </w:tc>
        <w:tc>
          <w:tcPr>
            <w:tcW w:type="dxa" w:w="156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161.6</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84.5</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72.3</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79.2</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67.4</w:t>
            </w:r>
          </w:p>
        </w:tc>
      </w:tr>
      <w:tr>
        <w:trPr>
          <w:cantSplit/>
          <w:tblHeader w:val="false"/>
        </w:trPr>
        <w:tc>
          <w:tcPr>
            <w:tcW w:type="dxa" w:w="112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Nov</w:t>
            </w:r>
          </w:p>
        </w:tc>
        <w:tc>
          <w:tcPr>
            <w:tcW w:type="dxa" w:w="15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170.8</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89.5</w:t>
            </w:r>
          </w:p>
        </w:tc>
        <w:tc>
          <w:tcPr>
            <w:tcW w:type="dxa" w:w="168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77.6</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83.8</w:t>
            </w:r>
          </w:p>
        </w:tc>
        <w:tc>
          <w:tcPr>
            <w:tcW w:type="dxa" w:w="17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72.4</w:t>
            </w:r>
          </w:p>
        </w:tc>
      </w:tr>
      <w:tr>
        <w:trPr>
          <w:cantSplit/>
          <w:tblHeader w:val="false"/>
        </w:trPr>
        <w:tc>
          <w:tcPr>
            <w:tcW w:type="dxa" w:w="112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Dec</w:t>
            </w:r>
          </w:p>
        </w:tc>
        <w:tc>
          <w:tcPr>
            <w:tcW w:type="dxa" w:w="156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157.1</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80.4</w:t>
            </w:r>
          </w:p>
        </w:tc>
        <w:tc>
          <w:tcPr>
            <w:tcW w:type="dxa" w:w="168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68.9</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75.3</w:t>
            </w:r>
          </w:p>
        </w:tc>
        <w:tc>
          <w:tcPr>
            <w:tcW w:type="dxa" w:w="17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64.3</w:t>
            </w:r>
          </w:p>
        </w:tc>
      </w:tr>
    </w:tbl>
    <w:p>
      <w:pPr>
        <w:keepNext/>
        <w:spacing w:after="60" w:before="120"/>
      </w:pPr>
      <w:r>
        <w:rPr>
          <w:i/>
          <w:iCs/>
          <w:color w:val="4A4D52"/>
          <w:sz w:val="17"/>
          <w:szCs w:val="17"/>
        </w:rPr>
        <w:t xml:space="preserve">Table 11.1. Monthly collector yield per m² at fixed inlet temperature (kWh/m²)</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641"/>
        <w:gridCol w:w="2256"/>
        <w:gridCol w:w="1435"/>
        <w:gridCol w:w="2461"/>
        <w:gridCol w:w="1845"/>
      </w:tblGrid>
      <w:tr>
        <w:trPr>
          <w:cantSplit/>
          <w:tblHeader/>
        </w:trPr>
        <w:tc>
          <w:tcPr>
            <w:tcW w:type="dxa" w:w="164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225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Yield @40 °C inlet (kWh/m²/yr)</w:t>
            </w:r>
          </w:p>
        </w:tc>
        <w:tc>
          <w:tcPr>
            <w:tcW w:type="dxa" w:w="143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Yield @60 °C</w:t>
            </w:r>
          </w:p>
        </w:tc>
        <w:tc>
          <w:tcPr>
            <w:tcW w:type="dxa" w:w="246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Annual efficiency on POA @40 °C</w:t>
            </w:r>
          </w:p>
        </w:tc>
        <w:tc>
          <w:tcPr>
            <w:tcW w:type="dxa" w:w="184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Operating hours @40 °C</w:t>
            </w:r>
          </w:p>
        </w:tc>
      </w:tr>
      <w:tr>
        <w:trPr>
          <w:cantSplit/>
          <w:tblHeader w:val="false"/>
        </w:trPr>
        <w:tc>
          <w:tcPr>
            <w:tcW w:type="dxa" w:w="16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225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1030</w:t>
            </w:r>
          </w:p>
        </w:tc>
        <w:tc>
          <w:tcPr>
            <w:tcW w:type="dxa" w:w="14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882</w:t>
            </w:r>
          </w:p>
        </w:tc>
        <w:tc>
          <w:tcPr>
            <w:tcW w:type="dxa" w:w="246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52.1 %</w:t>
            </w:r>
          </w:p>
        </w:tc>
        <w:tc>
          <w:tcPr>
            <w:tcW w:type="dxa" w:w="184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3858</w:t>
            </w:r>
          </w:p>
        </w:tc>
      </w:tr>
      <w:tr>
        <w:trPr>
          <w:cantSplit/>
          <w:tblHeader w:val="false"/>
        </w:trPr>
        <w:tc>
          <w:tcPr>
            <w:tcW w:type="dxa" w:w="16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225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965</w:t>
            </w:r>
          </w:p>
        </w:tc>
        <w:tc>
          <w:tcPr>
            <w:tcW w:type="dxa" w:w="14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823</w:t>
            </w:r>
          </w:p>
        </w:tc>
        <w:tc>
          <w:tcPr>
            <w:tcW w:type="dxa" w:w="246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48.8 %</w:t>
            </w:r>
          </w:p>
        </w:tc>
        <w:tc>
          <w:tcPr>
            <w:tcW w:type="dxa" w:w="184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3853</w:t>
            </w:r>
          </w:p>
        </w:tc>
      </w:tr>
    </w:tbl>
    <w:p>
      <w:pPr>
        <w:keepNext/>
        <w:spacing w:after="60" w:before="120"/>
      </w:pPr>
      <w:r>
        <w:rPr>
          <w:i/>
          <w:iCs/>
          <w:color w:val="4A4D52"/>
          <w:sz w:val="17"/>
          <w:szCs w:val="17"/>
        </w:rPr>
        <w:t xml:space="preserve">Table 11.2. Annual collector-only yield</w:t>
      </w:r>
    </w:p>
    <w:p>
      <w:pPr>
        <w:spacing w:after="40" w:before="160"/>
        <w:jc w:val="center"/>
      </w:pPr>
      <w:r>
        <w:drawing>
          <wp:inline distT="0" distB="0" distL="0" distR="0">
            <wp:extent cx="61245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24575" cy="1590675"/>
                    </a:xfrm>
                    <a:prstGeom prst="rect">
                      <a:avLst/>
                    </a:prstGeom>
                  </pic:spPr>
                </pic:pic>
              </a:graphicData>
            </a:graphic>
          </wp:inline>
        </w:drawing>
      </w:r>
    </w:p>
    <w:p>
      <w:pPr>
        <w:spacing w:after="240" w:before="60"/>
        <w:jc w:val="center"/>
      </w:pPr>
      <w:r>
        <w:rPr>
          <w:i/>
          <w:iCs/>
          <w:color w:val="4A4D52"/>
          <w:sz w:val="17"/>
          <w:szCs w:val="17"/>
        </w:rPr>
        <w:t xml:space="preserve">Figure 11.1. Monthly yield, sizing and cost of heat</w:t>
      </w:r>
    </w:p>
    <w:p>
      <w:pPr>
        <w:pStyle w:val="Heading2"/>
        <w:keepNext/>
        <w:spacing w:after="120" w:before="280"/>
      </w:pPr>
      <w:r>
        <w:t xml:space="preserve">11.3 Household system sizing (100 L/day at 45 °C)</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657"/>
        <w:gridCol w:w="548"/>
        <w:gridCol w:w="767"/>
        <w:gridCol w:w="876"/>
        <w:gridCol w:w="986"/>
        <w:gridCol w:w="986"/>
        <w:gridCol w:w="876"/>
        <w:gridCol w:w="986"/>
        <w:gridCol w:w="876"/>
        <w:gridCol w:w="986"/>
        <w:gridCol w:w="1094"/>
      </w:tblGrid>
      <w:tr>
        <w:trPr>
          <w:cantSplit/>
          <w:tblHeader/>
        </w:trPr>
        <w:tc>
          <w:tcPr>
            <w:tcW w:type="dxa" w:w="65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w:t>
            </w:r>
          </w:p>
        </w:tc>
        <w:tc>
          <w:tcPr>
            <w:tcW w:type="dxa" w:w="54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Mod.</w:t>
            </w:r>
          </w:p>
        </w:tc>
        <w:tc>
          <w:tcPr>
            <w:tcW w:type="dxa" w:w="76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Area m²</w:t>
            </w:r>
          </w:p>
        </w:tc>
        <w:tc>
          <w:tcPr>
            <w:tcW w:type="dxa" w:w="87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SF</w:t>
            </w:r>
          </w:p>
        </w:tc>
        <w:tc>
          <w:tcPr>
            <w:tcW w:type="dxa" w:w="98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Solar kWh/yr</w:t>
            </w:r>
          </w:p>
        </w:tc>
        <w:tc>
          <w:tcPr>
            <w:tcW w:type="dxa" w:w="98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Tank loss kWh</w:t>
            </w:r>
          </w:p>
        </w:tc>
        <w:tc>
          <w:tcPr>
            <w:tcW w:type="dxa" w:w="87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Max Tc K</w:t>
            </w:r>
          </w:p>
        </w:tc>
        <w:tc>
          <w:tcPr>
            <w:tcW w:type="dxa" w:w="98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Capex Rs</w:t>
            </w:r>
          </w:p>
        </w:tc>
        <w:tc>
          <w:tcPr>
            <w:tcW w:type="dxa" w:w="87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Payback yr</w:t>
            </w:r>
          </w:p>
        </w:tc>
        <w:tc>
          <w:tcPr>
            <w:tcW w:type="dxa" w:w="98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NPV Rs</w:t>
            </w:r>
          </w:p>
        </w:tc>
        <w:tc>
          <w:tcPr>
            <w:tcW w:type="dxa" w:w="109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Cost of heat Rs/kWh</w:t>
            </w:r>
          </w:p>
        </w:tc>
      </w:tr>
      <w:tr>
        <w:trPr>
          <w:cantSplit/>
          <w:tblHeader w:val="false"/>
        </w:trPr>
        <w:tc>
          <w:tcPr>
            <w:tcW w:type="dxa" w:w="6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5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76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0.53</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50.0 %</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385</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111</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329</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16500</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10.8</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-3464</w:t>
            </w:r>
          </w:p>
        </w:tc>
        <w:tc>
          <w:tcPr>
            <w:tcW w:type="dxa" w:w="109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6.00</w:t>
            </w:r>
          </w:p>
        </w:tc>
      </w:tr>
      <w:tr>
        <w:trPr>
          <w:cantSplit/>
          <w:tblHeader w:val="false"/>
        </w:trPr>
        <w:tc>
          <w:tcPr>
            <w:tcW w:type="dxa" w:w="6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5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76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1.06</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83.0 %</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638</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242</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349</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21000</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7.6</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2526</w:t>
            </w:r>
          </w:p>
        </w:tc>
        <w:tc>
          <w:tcPr>
            <w:tcW w:type="dxa" w:w="109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4.49</w:t>
            </w:r>
          </w:p>
        </w:tc>
      </w:tr>
      <w:tr>
        <w:trPr>
          <w:cantSplit/>
          <w:tblHeader w:val="false"/>
        </w:trPr>
        <w:tc>
          <w:tcPr>
            <w:tcW w:type="dxa" w:w="6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5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76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1.58</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94.7 %</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728</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402</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389</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25500</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8.0</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1620</w:t>
            </w:r>
          </w:p>
        </w:tc>
        <w:tc>
          <w:tcPr>
            <w:tcW w:type="dxa" w:w="109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4.69</w:t>
            </w:r>
          </w:p>
        </w:tc>
      </w:tr>
      <w:tr>
        <w:trPr>
          <w:cantSplit/>
          <w:tblHeader w:val="false"/>
        </w:trPr>
        <w:tc>
          <w:tcPr>
            <w:tcW w:type="dxa" w:w="6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w:t>
            </w:r>
          </w:p>
        </w:tc>
        <w:tc>
          <w:tcPr>
            <w:tcW w:type="dxa" w:w="5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76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2.11</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97.9 %</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753</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509</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427</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30000</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9.2</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-1976</w:t>
            </w:r>
          </w:p>
        </w:tc>
        <w:tc>
          <w:tcPr>
            <w:tcW w:type="dxa" w:w="109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5.25</w:t>
            </w:r>
          </w:p>
        </w:tc>
      </w:tr>
      <w:tr>
        <w:trPr>
          <w:cantSplit/>
          <w:tblHeader w:val="false"/>
        </w:trPr>
        <w:tc>
          <w:tcPr>
            <w:tcW w:type="dxa" w:w="6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5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76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0.53</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53.2 %</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409</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118</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331</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16500</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10.1</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-2461</w:t>
            </w:r>
          </w:p>
        </w:tc>
        <w:tc>
          <w:tcPr>
            <w:tcW w:type="dxa" w:w="109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5.65</w:t>
            </w:r>
          </w:p>
        </w:tc>
      </w:tr>
      <w:tr>
        <w:trPr>
          <w:cantSplit/>
          <w:tblHeader w:val="false"/>
        </w:trPr>
        <w:tc>
          <w:tcPr>
            <w:tcW w:type="dxa" w:w="6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5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76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1.06</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85.8 %</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660</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266</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353</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21000</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7.4</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3435</w:t>
            </w:r>
          </w:p>
        </w:tc>
        <w:tc>
          <w:tcPr>
            <w:tcW w:type="dxa" w:w="109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4.34</w:t>
            </w:r>
          </w:p>
        </w:tc>
      </w:tr>
      <w:tr>
        <w:trPr>
          <w:cantSplit/>
          <w:tblHeader w:val="false"/>
        </w:trPr>
        <w:tc>
          <w:tcPr>
            <w:tcW w:type="dxa" w:w="6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5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76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1.58</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96.0 %</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738</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436</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405</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25500</w:t>
            </w:r>
          </w:p>
        </w:tc>
        <w:tc>
          <w:tcPr>
            <w:tcW w:type="dxa" w:w="87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7.9</w:t>
            </w:r>
          </w:p>
        </w:tc>
        <w:tc>
          <w:tcPr>
            <w:tcW w:type="dxa" w:w="9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2053</w:t>
            </w:r>
          </w:p>
        </w:tc>
        <w:tc>
          <w:tcPr>
            <w:tcW w:type="dxa" w:w="109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4.62</w:t>
            </w:r>
          </w:p>
        </w:tc>
      </w:tr>
      <w:tr>
        <w:trPr>
          <w:cantSplit/>
          <w:tblHeader w:val="false"/>
        </w:trPr>
        <w:tc>
          <w:tcPr>
            <w:tcW w:type="dxa" w:w="6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w:t>
            </w:r>
          </w:p>
        </w:tc>
        <w:tc>
          <w:tcPr>
            <w:tcW w:type="dxa" w:w="5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76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2.11</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98.4 %</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757</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533</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442</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30000</w:t>
            </w:r>
          </w:p>
        </w:tc>
        <w:tc>
          <w:tcPr>
            <w:tcW w:type="dxa" w:w="87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9.1</w:t>
            </w:r>
          </w:p>
        </w:tc>
        <w:tc>
          <w:tcPr>
            <w:tcW w:type="dxa" w:w="9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-1748</w:t>
            </w:r>
          </w:p>
        </w:tc>
        <w:tc>
          <w:tcPr>
            <w:tcW w:type="dxa" w:w="109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5.22</w:t>
            </w:r>
          </w:p>
        </w:tc>
      </w:tr>
    </w:tbl>
    <w:p>
      <w:pPr>
        <w:keepNext/>
        <w:spacing w:after="60" w:before="120"/>
      </w:pPr>
      <w:r>
        <w:rPr>
          <w:i/>
          <w:iCs/>
          <w:color w:val="4A4D52"/>
          <w:sz w:val="17"/>
          <w:szCs w:val="17"/>
        </w:rPr>
        <w:t xml:space="preserve">Table 11.3. Sizing sweep (15 years, 8 % discount, 1 % O&amp;M, 15 W pump)</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Economic input</w:t>
            </w:r>
          </w:p>
        </w:tc>
        <w:tc>
          <w:tcPr>
            <w:tcW w:type="dxa" w:w="67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tariff_Rs_kWh</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4.7</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tariff_basis</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TPSODL LT domestic 51-200 kWh/month slab, 470 paise/kWh (FY 2025-26, retained FY 2026-27); electricity duty excluded (conservative)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tariff_high_Rs_kWh</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5.7</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capex_Rs</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30000</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capex_range_Rs</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22000 – 45000</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capex_basis</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market 100 LPD flat-plate system Rs 20,000-30,000 + installation Rs 3,000-10,000; GRAIL prototype cost unknown</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om_frac_per_yr</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life_yr</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discount</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0.08</w:t>
            </w:r>
          </w:p>
        </w:tc>
      </w:tr>
    </w:tbl>
    <w:p>
      <w:pPr>
        <w:keepNext/>
        <w:spacing w:after="60" w:before="120"/>
      </w:pPr>
      <w:r>
        <w:rPr>
          <w:i/>
          <w:iCs/>
          <w:color w:val="4A4D52"/>
          <w:sz w:val="17"/>
          <w:szCs w:val="17"/>
        </w:rPr>
        <w:t xml:space="preserve">Table 11.4. Economic inputs</w:t>
      </w:r>
    </w:p>
    <w:p>
      <w:pPr>
        <w:pStyle w:val="ListParagraph"/>
        <w:numPr>
          <w:ilvl w:val="0"/>
          <w:numId w:val="2"/>
        </w:numPr>
        <w:spacing w:after="80" w:before="0" w:line="276" w:lineRule="auto"/>
      </w:pPr>
      <w:r>
        <w:t xml:space="preserve">Two modules give the lowest cost of heat: SF 86 % (parallel) / 83 % (alternating), Rs 4.34 / 4.49 per kWh vs Rs 4.95 for a geyser (Rs 4.70/kWh at 95 %).</w:t>
      </w:r>
    </w:p>
    <w:p>
      <w:pPr>
        <w:pStyle w:val="ListParagraph"/>
        <w:numPr>
          <w:ilvl w:val="0"/>
          <w:numId w:val="2"/>
        </w:numPr>
        <w:spacing w:after="80" w:before="0" w:line="276" w:lineRule="auto"/>
      </w:pPr>
      <w:r>
        <w:t xml:space="preserve">Four modules are oversized: the tank sits at its limit 533–726 h/yr, the collector stagnates at 427–442 K. DESIGN_REVIEW_REQUIRED: overheat protection for arrays of 3 or more modules.</w:t>
      </w:r>
    </w:p>
    <w:p>
      <w:pPr>
        <w:pStyle w:val="ListParagraph"/>
        <w:numPr>
          <w:ilvl w:val="0"/>
          <w:numId w:val="2"/>
        </w:numPr>
        <w:spacing w:after="80" w:before="0" w:line="276" w:lineRule="auto"/>
      </w:pPr>
      <w:r>
        <w:t xml:space="preserve">Capital cost is an ENGINEERING_ASSUMPTION (Rs 12,000 + Rs 4,500 per module); the GRAIL prototype cost is unknown.</w:t>
      </w:r>
    </w:p>
    <w:p>
      <w:pPr>
        <w:pStyle w:val="Heading1"/>
        <w:pageBreakBefore/>
        <w:spacing w:after="160" w:before="0"/>
      </w:pPr>
      <w:r>
        <w:t xml:space="preserve">12. System models: Python, Octave, Xcos and Simulink</w:t>
      </w:r>
    </w:p>
    <w:p>
      <w:pPr>
        <w:spacing w:after="120" w:before="0" w:line="276" w:lineRule="auto"/>
        <w:jc w:val="both"/>
      </w:pPr>
      <w:r>
        <w:t xml:space="preserve">The same collector–tank system was built four times, independently, to check the equations and the code. All use the same hourly input file (G_eff, T_amb, T_mains, draw for 8,760 h).</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120"/>
        <w:gridCol w:w="4241"/>
        <w:gridCol w:w="3277"/>
      </w:tblGrid>
      <w:tr>
        <w:trPr>
          <w:cantSplit/>
          <w:tblHeader/>
        </w:trPr>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Implementation</w:t>
            </w:r>
          </w:p>
        </w:tc>
        <w:tc>
          <w:tcPr>
            <w:tcW w:type="dxa" w:w="424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What it is</w:t>
            </w:r>
          </w:p>
        </w:tc>
        <w:tc>
          <w:tcPr>
            <w:tcW w:type="dxa" w:w="327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Agreement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Python (Stage 7)</w:t>
            </w:r>
          </w:p>
        </w:tc>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Reference model, 60 s step, draw as pulse at the start of each hour</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Baseline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GNU Octave 8.4</w:t>
            </w:r>
          </w:p>
        </w:tc>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Same equations as .m files; own solar-position routine</w:t>
            </w:r>
          </w:p>
        </w:tc>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SF within 0.000004; solar heat within 0.003 kWh/yr; peak Tc within 0.17 K</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Scilab Xcos 2024</w:t>
            </w:r>
          </w:p>
        </w:tc>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24-block diagram, LSodar, continuous draw</w:t>
            </w:r>
          </w:p>
        </w:tc>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Solar heat within 0.04 % of Octave (same continuous-draw equations)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MATLAB/Simulink (V20, V21)</w:t>
            </w:r>
          </w:p>
        </w:tc>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Built by script with add_block/add_line, ode45, data embedded</w:t>
            </w:r>
          </w:p>
        </w:tc>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All 4 cases PASS vs Xcos: solar heat within 0.05 %, max Tc within 0.94 K</w:t>
            </w:r>
          </w:p>
        </w:tc>
      </w:tr>
    </w:tbl>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217"/>
        <w:gridCol w:w="812"/>
        <w:gridCol w:w="1015"/>
        <w:gridCol w:w="1015"/>
        <w:gridCol w:w="1015"/>
        <w:gridCol w:w="1015"/>
        <w:gridCol w:w="812"/>
        <w:gridCol w:w="913"/>
        <w:gridCol w:w="913"/>
        <w:gridCol w:w="911"/>
      </w:tblGrid>
      <w:tr>
        <w:trPr>
          <w:cantSplit/>
          <w:tblHeader/>
        </w:trPr>
        <w:tc>
          <w:tcPr>
            <w:tcW w:type="dxa" w:w="121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81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Modules</w:t>
            </w:r>
          </w:p>
        </w:tc>
        <w:tc>
          <w:tcPr>
            <w:tcW w:type="dxa" w:w="101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Q_coll kWh</w:t>
            </w:r>
          </w:p>
        </w:tc>
        <w:tc>
          <w:tcPr>
            <w:tcW w:type="dxa" w:w="101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Q_loss kWh</w:t>
            </w:r>
          </w:p>
        </w:tc>
        <w:tc>
          <w:tcPr>
            <w:tcW w:type="dxa" w:w="101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Q_solar kWh</w:t>
            </w:r>
          </w:p>
        </w:tc>
        <w:tc>
          <w:tcPr>
            <w:tcW w:type="dxa" w:w="101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Q_load kWh</w:t>
            </w:r>
          </w:p>
        </w:tc>
        <w:tc>
          <w:tcPr>
            <w:tcW w:type="dxa" w:w="81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Pump h</w:t>
            </w:r>
          </w:p>
        </w:tc>
        <w:tc>
          <w:tcPr>
            <w:tcW w:type="dxa" w:w="91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SF</w:t>
            </w:r>
          </w:p>
        </w:tc>
        <w:tc>
          <w:tcPr>
            <w:tcW w:type="dxa" w:w="91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Tt end K</w:t>
            </w:r>
          </w:p>
        </w:tc>
        <w:tc>
          <w:tcPr>
            <w:tcW w:type="dxa" w:w="91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Max Tc K</w:t>
            </w:r>
          </w:p>
        </w:tc>
      </w:tr>
      <w:tr>
        <w:trPr>
          <w:cantSplit/>
          <w:tblHeader w:val="false"/>
        </w:trPr>
        <w:tc>
          <w:tcPr>
            <w:tcW w:type="dxa" w:w="121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10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875.1</w:t>
            </w:r>
          </w:p>
        </w:tc>
        <w:tc>
          <w:tcPr>
            <w:tcW w:type="dxa" w:w="10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247.5</w:t>
            </w:r>
          </w:p>
        </w:tc>
        <w:tc>
          <w:tcPr>
            <w:tcW w:type="dxa" w:w="10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626.0</w:t>
            </w:r>
          </w:p>
        </w:tc>
        <w:tc>
          <w:tcPr>
            <w:tcW w:type="dxa" w:w="10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768.9</w:t>
            </w:r>
          </w:p>
        </w:tc>
        <w:tc>
          <w:tcPr>
            <w:tcW w:type="dxa" w:w="8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2835</w:t>
            </w:r>
          </w:p>
        </w:tc>
        <w:tc>
          <w:tcPr>
            <w:tcW w:type="dxa" w:w="9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81.42 %</w:t>
            </w:r>
          </w:p>
        </w:tc>
        <w:tc>
          <w:tcPr>
            <w:tcW w:type="dxa" w:w="9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311.68</w:t>
            </w:r>
          </w:p>
        </w:tc>
        <w:tc>
          <w:tcPr>
            <w:tcW w:type="dxa" w:w="9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347.96</w:t>
            </w:r>
          </w:p>
        </w:tc>
      </w:tr>
      <w:tr>
        <w:trPr>
          <w:cantSplit/>
          <w:tblHeader w:val="false"/>
        </w:trPr>
        <w:tc>
          <w:tcPr>
            <w:tcW w:type="dxa" w:w="121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10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921.9</w:t>
            </w:r>
          </w:p>
        </w:tc>
        <w:tc>
          <w:tcPr>
            <w:tcW w:type="dxa" w:w="10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271.7</w:t>
            </w:r>
          </w:p>
        </w:tc>
        <w:tc>
          <w:tcPr>
            <w:tcW w:type="dxa" w:w="10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648.4</w:t>
            </w:r>
          </w:p>
        </w:tc>
        <w:tc>
          <w:tcPr>
            <w:tcW w:type="dxa" w:w="10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768.9</w:t>
            </w:r>
          </w:p>
        </w:tc>
        <w:tc>
          <w:tcPr>
            <w:tcW w:type="dxa" w:w="8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2840</w:t>
            </w:r>
          </w:p>
        </w:tc>
        <w:tc>
          <w:tcPr>
            <w:tcW w:type="dxa" w:w="9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84.34 %</w:t>
            </w:r>
          </w:p>
        </w:tc>
        <w:tc>
          <w:tcPr>
            <w:tcW w:type="dxa" w:w="9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313.17</w:t>
            </w:r>
          </w:p>
        </w:tc>
        <w:tc>
          <w:tcPr>
            <w:tcW w:type="dxa" w:w="9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352.03</w:t>
            </w:r>
          </w:p>
        </w:tc>
      </w:tr>
      <w:tr>
        <w:trPr>
          <w:cantSplit/>
          <w:tblHeader w:val="false"/>
        </w:trPr>
        <w:tc>
          <w:tcPr>
            <w:tcW w:type="dxa" w:w="121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10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1263.2</w:t>
            </w:r>
          </w:p>
        </w:tc>
        <w:tc>
          <w:tcPr>
            <w:tcW w:type="dxa" w:w="10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509.2</w:t>
            </w:r>
          </w:p>
        </w:tc>
        <w:tc>
          <w:tcPr>
            <w:tcW w:type="dxa" w:w="10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749.7</w:t>
            </w:r>
          </w:p>
        </w:tc>
        <w:tc>
          <w:tcPr>
            <w:tcW w:type="dxa" w:w="101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768.9</w:t>
            </w:r>
          </w:p>
        </w:tc>
        <w:tc>
          <w:tcPr>
            <w:tcW w:type="dxa" w:w="8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2153</w:t>
            </w:r>
          </w:p>
        </w:tc>
        <w:tc>
          <w:tcPr>
            <w:tcW w:type="dxa" w:w="9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97.51 %</w:t>
            </w:r>
          </w:p>
        </w:tc>
        <w:tc>
          <w:tcPr>
            <w:tcW w:type="dxa" w:w="9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334.68</w:t>
            </w:r>
          </w:p>
        </w:tc>
        <w:tc>
          <w:tcPr>
            <w:tcW w:type="dxa" w:w="9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429.85</w:t>
            </w:r>
          </w:p>
        </w:tc>
      </w:tr>
      <w:tr>
        <w:trPr>
          <w:cantSplit/>
          <w:tblHeader w:val="false"/>
        </w:trPr>
        <w:tc>
          <w:tcPr>
            <w:tcW w:type="dxa" w:w="121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10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1293.0</w:t>
            </w:r>
          </w:p>
        </w:tc>
        <w:tc>
          <w:tcPr>
            <w:tcW w:type="dxa" w:w="10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534.2</w:t>
            </w:r>
          </w:p>
        </w:tc>
        <w:tc>
          <w:tcPr>
            <w:tcW w:type="dxa" w:w="10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754.1</w:t>
            </w:r>
          </w:p>
        </w:tc>
        <w:tc>
          <w:tcPr>
            <w:tcW w:type="dxa" w:w="101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768.9</w:t>
            </w:r>
          </w:p>
        </w:tc>
        <w:tc>
          <w:tcPr>
            <w:tcW w:type="dxa" w:w="8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2056</w:t>
            </w:r>
          </w:p>
        </w:tc>
        <w:tc>
          <w:tcPr>
            <w:tcW w:type="dxa" w:w="9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98.08 %</w:t>
            </w:r>
          </w:p>
        </w:tc>
        <w:tc>
          <w:tcPr>
            <w:tcW w:type="dxa" w:w="9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338.79</w:t>
            </w:r>
          </w:p>
        </w:tc>
        <w:tc>
          <w:tcPr>
            <w:tcW w:type="dxa" w:w="9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443.82</w:t>
            </w:r>
          </w:p>
        </w:tc>
      </w:tr>
    </w:tbl>
    <w:p>
      <w:pPr>
        <w:keepNext/>
        <w:spacing w:after="60" w:before="120"/>
      </w:pPr>
      <w:r>
        <w:rPr>
          <w:i/>
          <w:iCs/>
          <w:color w:val="4A4D52"/>
          <w:sz w:val="17"/>
          <w:szCs w:val="17"/>
        </w:rPr>
        <w:t xml:space="preserve">Table 12.1. Xcos annual results (continuous draw)</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205"/>
        <w:gridCol w:w="803"/>
        <w:gridCol w:w="1004"/>
        <w:gridCol w:w="803"/>
        <w:gridCol w:w="904"/>
        <w:gridCol w:w="904"/>
        <w:gridCol w:w="1004"/>
        <w:gridCol w:w="1104"/>
        <w:gridCol w:w="1104"/>
        <w:gridCol w:w="803"/>
      </w:tblGrid>
      <w:tr>
        <w:trPr>
          <w:cantSplit/>
          <w:tblHeader/>
        </w:trPr>
        <w:tc>
          <w:tcPr>
            <w:tcW w:type="dxa" w:w="120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80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Modules</w:t>
            </w:r>
          </w:p>
        </w:tc>
        <w:tc>
          <w:tcPr>
            <w:tcW w:type="dxa" w:w="100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Solar kWh</w:t>
            </w:r>
          </w:p>
        </w:tc>
        <w:tc>
          <w:tcPr>
            <w:tcW w:type="dxa" w:w="80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SF %</w:t>
            </w:r>
          </w:p>
        </w:tc>
        <w:tc>
          <w:tcPr>
            <w:tcW w:type="dxa" w:w="90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Max Tc K</w:t>
            </w:r>
          </w:p>
        </w:tc>
        <w:tc>
          <w:tcPr>
            <w:tcW w:type="dxa" w:w="90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Tank end K</w:t>
            </w:r>
          </w:p>
        </w:tc>
        <w:tc>
          <w:tcPr>
            <w:tcW w:type="dxa" w:w="100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Closure kWh</w:t>
            </w:r>
          </w:p>
        </w:tc>
        <w:tc>
          <w:tcPr>
            <w:tcW w:type="dxa" w:w="110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vs Xcos solar %</w:t>
            </w:r>
          </w:p>
        </w:tc>
        <w:tc>
          <w:tcPr>
            <w:tcW w:type="dxa" w:w="110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vs Xcos max Tc K</w:t>
            </w:r>
          </w:p>
        </w:tc>
        <w:tc>
          <w:tcPr>
            <w:tcW w:type="dxa" w:w="80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Verdict</w:t>
            </w:r>
          </w:p>
        </w:tc>
      </w:tr>
      <w:tr>
        <w:trPr>
          <w:cantSplit/>
          <w:tblHeader w:val="false"/>
        </w:trPr>
        <w:tc>
          <w:tcPr>
            <w:tcW w:type="dxa" w:w="1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10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626.28</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81.45</w:t>
            </w:r>
          </w:p>
        </w:tc>
        <w:tc>
          <w:tcPr>
            <w:tcW w:type="dxa" w:w="9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347.963</w:t>
            </w:r>
          </w:p>
        </w:tc>
        <w:tc>
          <w:tcPr>
            <w:tcW w:type="dxa" w:w="9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311.435</w:t>
            </w:r>
          </w:p>
        </w:tc>
        <w:tc>
          <w:tcPr>
            <w:tcW w:type="dxa" w:w="10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4.9e-12</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+0.0408</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+0.0009</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1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10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648.55</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84.35</w:t>
            </w:r>
          </w:p>
        </w:tc>
        <w:tc>
          <w:tcPr>
            <w:tcW w:type="dxa" w:w="9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352.021</w:t>
            </w:r>
          </w:p>
        </w:tc>
        <w:tc>
          <w:tcPr>
            <w:tcW w:type="dxa" w:w="9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312.899</w:t>
            </w:r>
          </w:p>
        </w:tc>
        <w:tc>
          <w:tcPr>
            <w:tcW w:type="dxa" w:w="10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−3.1e-11</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+0.0205</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−0.0089</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1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10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749.79</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97.52</w:t>
            </w:r>
          </w:p>
        </w:tc>
        <w:tc>
          <w:tcPr>
            <w:tcW w:type="dxa" w:w="9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430.787</w:t>
            </w:r>
          </w:p>
        </w:tc>
        <w:tc>
          <w:tcPr>
            <w:tcW w:type="dxa" w:w="9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334.159</w:t>
            </w:r>
          </w:p>
        </w:tc>
        <w:tc>
          <w:tcPr>
            <w:tcW w:type="dxa" w:w="10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−6.0e-11</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+0.0108</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+0.9375</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1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10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754.13</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98.08</w:t>
            </w:r>
          </w:p>
        </w:tc>
        <w:tc>
          <w:tcPr>
            <w:tcW w:type="dxa" w:w="9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444.211</w:t>
            </w:r>
          </w:p>
        </w:tc>
        <w:tc>
          <w:tcPr>
            <w:tcW w:type="dxa" w:w="9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338.204</w:t>
            </w:r>
          </w:p>
        </w:tc>
        <w:tc>
          <w:tcPr>
            <w:tcW w:type="dxa" w:w="10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−1.5e-10</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+0.0068</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+0.3892</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bl>
    <w:p>
      <w:pPr>
        <w:keepNext/>
        <w:spacing w:after="60" w:before="120"/>
      </w:pPr>
      <w:r>
        <w:rPr>
          <w:i/>
          <w:iCs/>
          <w:color w:val="4A4D52"/>
          <w:sz w:val="17"/>
          <w:szCs w:val="17"/>
        </w:rPr>
        <w:t xml:space="preserve">Table 12.2. Simulink V20 run in MATLAB Online (V21: same numerics, OVERALL PASS)</w:t>
      </w:r>
    </w:p>
    <w:p>
      <w:pPr>
        <w:spacing w:after="120" w:before="0" w:line="276" w:lineRule="auto"/>
        <w:jc w:val="both"/>
      </w:pPr>
      <w:r>
        <w:t xml:space="preserve">The continuous-draw models (Xcos, Simulink) give a solar fraction 1.5–1.6 points lower at 2 modules than the Stage 7 pulse-draw baseline. The ranking and the 2-module sizing do not change; the Stage 7 values remain the reported results. The larger max-Tc differences at 4 modules happen at stagnation (&gt; 420 K) and depend on step placement; annual energy agrees within 0.011 %.</w:t>
      </w:r>
    </w:p>
    <w:p>
      <w:pPr>
        <w:spacing w:after="40" w:before="160"/>
        <w:jc w:val="center"/>
      </w:pPr>
      <w:r>
        <w:drawing>
          <wp:inline distT="0" distB="0" distL="0" distR="0">
            <wp:extent cx="612457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24575" cy="3486150"/>
                    </a:xfrm>
                    <a:prstGeom prst="rect">
                      <a:avLst/>
                    </a:prstGeom>
                  </pic:spPr>
                </pic:pic>
              </a:graphicData>
            </a:graphic>
          </wp:inline>
        </w:drawing>
      </w:r>
    </w:p>
    <w:p>
      <w:pPr>
        <w:spacing w:after="240" w:before="60"/>
        <w:jc w:val="center"/>
      </w:pPr>
      <w:r>
        <w:rPr>
          <w:i/>
          <w:iCs/>
          <w:color w:val="4A4D52"/>
          <w:sz w:val="17"/>
          <w:szCs w:val="17"/>
        </w:rPr>
        <w:t xml:space="preserve">Figure 12.1. Scilab Xcos model — block structure (redrawn for print from GRAIL_system.zcos)</w:t>
      </w:r>
    </w:p>
    <w:p>
      <w:pPr>
        <w:spacing w:after="40" w:before="160"/>
        <w:jc w:val="center"/>
      </w:pPr>
      <w:r>
        <w:drawing>
          <wp:inline distT="0" distB="0" distL="0" distR="0">
            <wp:extent cx="61245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24575" cy="2533650"/>
                    </a:xfrm>
                    <a:prstGeom prst="rect">
                      <a:avLst/>
                    </a:prstGeom>
                  </pic:spPr>
                </pic:pic>
              </a:graphicData>
            </a:graphic>
          </wp:inline>
        </w:drawing>
      </w:r>
    </w:p>
    <w:p>
      <w:pPr>
        <w:spacing w:after="240" w:before="60"/>
        <w:jc w:val="center"/>
      </w:pPr>
      <w:r>
        <w:rPr>
          <w:i/>
          <w:iCs/>
          <w:color w:val="4A4D52"/>
          <w:sz w:val="17"/>
          <w:szCs w:val="17"/>
        </w:rPr>
        <w:t xml:space="preserve">Figure 12.2. MATLAB/Simulink V21 block diagram (parallel, 2 modules); two duplicate labels removed for print — V22 script fixes them at source</w:t>
      </w:r>
    </w:p>
    <w:p>
      <w:pPr>
        <w:pStyle w:val="Heading1"/>
        <w:pageBreakBefore/>
        <w:spacing w:after="160" w:before="0"/>
      </w:pPr>
      <w:r>
        <w:t xml:space="preserve">13. Verification record (model checks)</w:t>
      </w:r>
    </w:p>
    <w:p>
      <w:pPr>
        <w:spacing w:after="120" w:before="0" w:line="276" w:lineRule="auto"/>
        <w:jc w:val="both"/>
      </w:pPr>
      <w:r>
        <w:t xml:space="preserve">Verification asks: are the equations solved correctly? Validation (Section 14) asks: do they describe reality?</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82"/>
        <w:gridCol w:w="3855"/>
        <w:gridCol w:w="3855"/>
        <w:gridCol w:w="1446"/>
      </w:tblGrid>
      <w:tr>
        <w:trPr>
          <w:cantSplit/>
          <w:tblHeader/>
        </w:trPr>
        <w:tc>
          <w:tcPr>
            <w:tcW w:type="dxa" w:w="48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t>
            </w:r>
          </w:p>
        </w:tc>
        <w:tc>
          <w:tcPr>
            <w:tcW w:type="dxa" w:w="385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Check</w:t>
            </w:r>
          </w:p>
        </w:tc>
        <w:tc>
          <w:tcPr>
            <w:tcW w:type="dxa" w:w="385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Result</w:t>
            </w:r>
          </w:p>
        </w:tc>
        <w:tc>
          <w:tcPr>
            <w:tcW w:type="dxa" w:w="144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Status</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3-D grid convergence of Nu</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GCI 2.1 %, p = 1.12</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3-D energy balance from raw fields</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0.005 % / 0.035 %</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3-D iteration convergence</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2 × 10⁻⁶</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frozenFlow honoured</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 pressure/momentum solves; flux unchanged 1.5 × 10⁻⁸</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GRAIL-CHT vs 3-D (co-current)</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η 0.01 %, std 0.6 %</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GRAIL-CHT vs HWB textbook model</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+0.22 %</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Campaign energy balance, 300 cases</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all &lt; 0.5 % (max 0.00015 %)</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Campaign convergence</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300 / 300</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Independent dataset audit (Rev 4.1)</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 derived-column groups corrected; thermal results unchanged</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 after fix</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ANN hold-out</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R² ≥ 0.9994</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NSGA-II optima re-run in solver</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0.13 points η</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Efficiency-curve held-out points</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 0.24 points</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13</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Tank first law, annual</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10⁻¹⁰ kWh</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14</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Weather time alignment</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0.17 W/m² closure</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Python vs Octave vs Xcos vs Simulink</w:t>
            </w:r>
          </w:p>
        </w:tc>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0.05 % solar heat</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16</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V7 matched-temperature searches</w:t>
            </w:r>
          </w:p>
        </w:tc>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matched within 0.001 K; energy &lt; 0.5 %</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bl>
    <w:p>
      <w:pPr>
        <w:pStyle w:val="Heading1"/>
        <w:pageBreakBefore/>
        <w:spacing w:after="160" w:before="0"/>
      </w:pPr>
      <w:r>
        <w:t xml:space="preserve">14. Validation against published experimental work (V5)</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V5 verdict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COMPLETE — PARTIAL PASS at method and component level (closed 25 Sep 2026).</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modelling method was checked against measurements on similar collectors. The GRAIL collector itself has not been built or tested; it is not experimentally validated.</w:t>
            </w:r>
          </w:p>
        </w:tc>
      </w:tr>
    </w:tbl>
    <w:p>
      <w:pPr>
        <w:pStyle w:val="Heading2"/>
        <w:keepNext/>
        <w:spacing w:after="120" w:before="280"/>
      </w:pPr>
      <w:r>
        <w:t xml:space="preserve">14.1 Screening rules</w:t>
      </w:r>
    </w:p>
    <w:p>
      <w:pPr>
        <w:pStyle w:val="ListParagraph"/>
        <w:numPr>
          <w:ilvl w:val="0"/>
          <w:numId w:val="2"/>
        </w:numPr>
        <w:spacing w:after="80" w:before="0" w:line="276" w:lineRule="auto"/>
      </w:pPr>
      <w:r>
        <w:t xml:space="preserve">(a) measured data given in tables;</w:t>
      </w:r>
    </w:p>
    <w:p>
      <w:pPr>
        <w:pStyle w:val="ListParagraph"/>
        <w:numPr>
          <w:ilvl w:val="0"/>
          <w:numId w:val="2"/>
        </w:numPr>
        <w:spacing w:after="80" w:before="0" w:line="276" w:lineRule="auto"/>
      </w:pPr>
      <w:r>
        <w:t xml:space="preserve">(b) data pass an independent energy check;</w:t>
      </w:r>
    </w:p>
    <w:p>
      <w:pPr>
        <w:pStyle w:val="ListParagraph"/>
        <w:numPr>
          <w:ilvl w:val="0"/>
          <w:numId w:val="2"/>
        </w:numPr>
        <w:spacing w:after="80" w:before="0" w:line="276" w:lineRule="auto"/>
      </w:pPr>
      <w:r>
        <w:t xml:space="preserve">(c) the inputs needed to rerun the case are stated.</w:t>
      </w:r>
    </w:p>
    <w:p>
      <w:pPr>
        <w:pStyle w:val="Heading2"/>
        <w:keepNext/>
        <w:spacing w:after="120" w:before="280"/>
      </w:pPr>
      <w:r>
        <w:t xml:space="preserve">14.2 All papers screened (16)</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02"/>
        <w:gridCol w:w="2811"/>
        <w:gridCol w:w="1104"/>
        <w:gridCol w:w="803"/>
        <w:gridCol w:w="1908"/>
        <w:gridCol w:w="803"/>
        <w:gridCol w:w="1807"/>
      </w:tblGrid>
      <w:tr>
        <w:trPr>
          <w:cantSplit/>
          <w:tblHeader/>
        </w:trPr>
        <w:tc>
          <w:tcPr>
            <w:tcW w:type="dxa" w:w="40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t>
            </w:r>
          </w:p>
        </w:tc>
        <w:tc>
          <w:tcPr>
            <w:tcW w:type="dxa" w:w="281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Paper</w:t>
            </w:r>
          </w:p>
        </w:tc>
        <w:tc>
          <w:tcPr>
            <w:tcW w:type="dxa" w:w="110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Measured?</w:t>
            </w:r>
          </w:p>
        </w:tc>
        <w:tc>
          <w:tcPr>
            <w:tcW w:type="dxa" w:w="80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Tables</w:t>
            </w:r>
          </w:p>
        </w:tc>
        <w:tc>
          <w:tcPr>
            <w:tcW w:type="dxa" w:w="190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Energy check</w:t>
            </w:r>
          </w:p>
        </w:tc>
        <w:tc>
          <w:tcPr>
            <w:tcW w:type="dxa" w:w="80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Inputs</w:t>
            </w:r>
          </w:p>
        </w:tc>
        <w:tc>
          <w:tcPr>
            <w:tcW w:type="dxa" w:w="180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Use</w:t>
            </w:r>
          </w:p>
        </w:tc>
      </w:tr>
      <w:tr>
        <w:trPr>
          <w:cantSplit/>
          <w:tblHeader w:val="false"/>
        </w:trPr>
        <w:tc>
          <w:tcPr>
            <w:tcW w:type="dxa" w:w="4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28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Gunjo et al. 2017, Renew. Energy</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 vs test</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9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Fails (CFD exceeds solar input)</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Rejected</w:t>
            </w:r>
          </w:p>
        </w:tc>
      </w:tr>
      <w:tr>
        <w:trPr>
          <w:cantSplit/>
          <w:tblHeader w:val="false"/>
        </w:trPr>
        <w:tc>
          <w:tcPr>
            <w:tcW w:type="dxa" w:w="4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28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Bharathiraja et al. 2024, J. Energy Storage 96</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Yes, outdoor</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c>
          <w:tcPr>
            <w:tcW w:type="dxa" w:w="19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 (64.8 / 73.0 % vs 64.7 / 71.7 %)</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Partly</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Comparison</w:t>
            </w:r>
          </w:p>
        </w:tc>
      </w:tr>
      <w:tr>
        <w:trPr>
          <w:cantSplit/>
          <w:tblHeader w:val="false"/>
        </w:trPr>
        <w:tc>
          <w:tcPr>
            <w:tcW w:type="dxa" w:w="4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28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Vahidinia &amp; Khorasanizadeh 2024, Energy 304</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9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 (quoted points)</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Pointer</w:t>
            </w:r>
          </w:p>
        </w:tc>
      </w:tr>
      <w:tr>
        <w:trPr>
          <w:cantSplit/>
          <w:tblHeader w:val="false"/>
        </w:trPr>
        <w:tc>
          <w:tcPr>
            <w:tcW w:type="dxa" w:w="4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28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Zareie et al. 2024, Energy 286</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Yes, simulator</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Plot</w:t>
            </w:r>
          </w:p>
        </w:tc>
        <w:tc>
          <w:tcPr>
            <w:tcW w:type="dxa" w:w="19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Not checkable</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Partly</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Rejected</w:t>
            </w:r>
          </w:p>
        </w:tc>
      </w:tr>
      <w:tr>
        <w:trPr>
          <w:cantSplit/>
          <w:tblHeader w:val="false"/>
        </w:trPr>
        <w:tc>
          <w:tcPr>
            <w:tcW w:type="dxa" w:w="4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w:t>
            </w:r>
          </w:p>
        </w:tc>
        <w:tc>
          <w:tcPr>
            <w:tcW w:type="dxa" w:w="28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Parthiban et al. 2025, Appl. Therm. Eng. 258</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System</w:t>
            </w:r>
          </w:p>
        </w:tc>
        <w:tc>
          <w:tcPr>
            <w:tcW w:type="dxa" w:w="19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Comparison (TIM τ 0.89)</w:t>
            </w:r>
          </w:p>
        </w:tc>
      </w:tr>
      <w:tr>
        <w:trPr>
          <w:cantSplit/>
          <w:tblHeader w:val="false"/>
        </w:trPr>
        <w:tc>
          <w:tcPr>
            <w:tcW w:type="dxa" w:w="4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w:t>
            </w:r>
          </w:p>
        </w:tc>
        <w:tc>
          <w:tcPr>
            <w:tcW w:type="dxa" w:w="28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Ding et al. 2025, Int. J. Therm. Sci. 208</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Heat sink</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Partly</w:t>
            </w:r>
          </w:p>
        </w:tc>
        <w:tc>
          <w:tcPr>
            <w:tcW w:type="dxa" w:w="19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Physics support</w:t>
            </w:r>
          </w:p>
        </w:tc>
      </w:tr>
      <w:tr>
        <w:trPr>
          <w:cantSplit/>
          <w:tblHeader w:val="false"/>
        </w:trPr>
        <w:tc>
          <w:tcPr>
            <w:tcW w:type="dxa" w:w="4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w:t>
            </w:r>
          </w:p>
        </w:tc>
        <w:tc>
          <w:tcPr>
            <w:tcW w:type="dxa" w:w="28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Li et al. 2024, Appl. Therm. Eng. 251</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19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Method support</w:t>
            </w:r>
          </w:p>
        </w:tc>
      </w:tr>
      <w:tr>
        <w:trPr>
          <w:cantSplit/>
          <w:tblHeader w:val="false"/>
        </w:trPr>
        <w:tc>
          <w:tcPr>
            <w:tcW w:type="dxa" w:w="4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w:t>
            </w:r>
          </w:p>
        </w:tc>
        <w:tc>
          <w:tcPr>
            <w:tcW w:type="dxa" w:w="28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Alawi et al. 2024, Eng. Appl. AI 133</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19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ANN comparison</w:t>
            </w:r>
          </w:p>
        </w:tc>
      </w:tr>
      <w:tr>
        <w:trPr>
          <w:cantSplit/>
          <w:tblHeader w:val="false"/>
        </w:trPr>
        <w:tc>
          <w:tcPr>
            <w:tcW w:type="dxa" w:w="4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w:t>
            </w:r>
          </w:p>
        </w:tc>
        <w:tc>
          <w:tcPr>
            <w:tcW w:type="dxa" w:w="28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Del Col et al. 2013, Energy 58</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 EN 12975</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 U95</w:t>
            </w:r>
          </w:p>
        </w:tc>
        <w:tc>
          <w:tcPr>
            <w:tcW w:type="dxa" w:w="19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Mostly</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REFERENCE — method check</w:t>
            </w:r>
          </w:p>
        </w:tc>
      </w:tr>
      <w:tr>
        <w:trPr>
          <w:cantSplit/>
          <w:tblHeader w:val="false"/>
        </w:trPr>
        <w:tc>
          <w:tcPr>
            <w:tcW w:type="dxa" w:w="4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w:t>
            </w:r>
          </w:p>
        </w:tc>
        <w:tc>
          <w:tcPr>
            <w:tcW w:type="dxa" w:w="28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Mansour 2013, Energy 60</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Plots</w:t>
            </w:r>
          </w:p>
        </w:tc>
        <w:tc>
          <w:tcPr>
            <w:tcW w:type="dxa" w:w="19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table passes</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benchmark</w:t>
            </w:r>
          </w:p>
        </w:tc>
      </w:tr>
      <w:tr>
        <w:trPr>
          <w:cantSplit/>
          <w:tblHeader w:val="false"/>
        </w:trPr>
        <w:tc>
          <w:tcPr>
            <w:tcW w:type="dxa" w:w="4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w:t>
            </w:r>
          </w:p>
        </w:tc>
        <w:tc>
          <w:tcPr>
            <w:tcW w:type="dxa" w:w="28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Zheng et al. 2024, Appl. Energy 355</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Plot</w:t>
            </w:r>
          </w:p>
        </w:tc>
        <w:tc>
          <w:tcPr>
            <w:tcW w:type="dxa" w:w="19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~11 % uncertainty</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Comparison</w:t>
            </w:r>
          </w:p>
        </w:tc>
      </w:tr>
      <w:tr>
        <w:trPr>
          <w:cantSplit/>
          <w:tblHeader w:val="false"/>
        </w:trPr>
        <w:tc>
          <w:tcPr>
            <w:tcW w:type="dxa" w:w="4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w:t>
            </w:r>
          </w:p>
        </w:tc>
        <w:tc>
          <w:tcPr>
            <w:tcW w:type="dxa" w:w="28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Sakib et al. 2026, ECM:X 31</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19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Method comparison</w:t>
            </w:r>
          </w:p>
        </w:tc>
      </w:tr>
      <w:tr>
        <w:trPr>
          <w:cantSplit/>
          <w:tblHeader w:val="false"/>
        </w:trPr>
        <w:tc>
          <w:tcPr>
            <w:tcW w:type="dxa" w:w="4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13</w:t>
            </w:r>
          </w:p>
        </w:tc>
        <w:tc>
          <w:tcPr>
            <w:tcW w:type="dxa" w:w="28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Beikircher et al. 2015, SOLMAT 141</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c>
          <w:tcPr>
            <w:tcW w:type="dxa" w:w="19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 (η0 0.89 &lt; τα 0.91)</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Partly</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REFERENCE — component check</w:t>
            </w:r>
          </w:p>
        </w:tc>
      </w:tr>
      <w:tr>
        <w:trPr>
          <w:cantSplit/>
          <w:tblHeader w:val="false"/>
        </w:trPr>
        <w:tc>
          <w:tcPr>
            <w:tcW w:type="dxa" w:w="4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14</w:t>
            </w:r>
          </w:p>
        </w:tc>
        <w:tc>
          <w:tcPr>
            <w:tcW w:type="dxa" w:w="28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Kessentini et al. (CTTC/UPC)</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Fitted line</w:t>
            </w:r>
          </w:p>
        </w:tc>
        <w:tc>
          <w:tcPr>
            <w:tcW w:type="dxa" w:w="19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Plausible</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Partly</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Comparison (η = 0.732 − 7.19 x)</w:t>
            </w:r>
          </w:p>
        </w:tc>
      </w:tr>
      <w:tr>
        <w:trPr>
          <w:cantSplit/>
          <w:tblHeader w:val="false"/>
        </w:trPr>
        <w:tc>
          <w:tcPr>
            <w:tcW w:type="dxa" w:w="4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w:t>
            </w:r>
          </w:p>
        </w:tc>
        <w:tc>
          <w:tcPr>
            <w:tcW w:type="dxa" w:w="281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Robles et al. 2014, Sol. Energy 110</w:t>
            </w:r>
          </w:p>
        </w:tc>
        <w:tc>
          <w:tcPr>
            <w:tcW w:type="dxa" w:w="110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Plots</w:t>
            </w:r>
          </w:p>
        </w:tc>
        <w:tc>
          <w:tcPr>
            <w:tcW w:type="dxa" w:w="19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Not checkable</w:t>
            </w:r>
          </w:p>
        </w:tc>
        <w:tc>
          <w:tcPr>
            <w:tcW w:type="dxa" w:w="80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w:t>
            </w:r>
          </w:p>
        </w:tc>
        <w:tc>
          <w:tcPr>
            <w:tcW w:type="dxa" w:w="180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Background</w:t>
            </w:r>
          </w:p>
        </w:tc>
      </w:tr>
      <w:tr>
        <w:trPr>
          <w:cantSplit/>
          <w:tblHeader w:val="false"/>
        </w:trPr>
        <w:tc>
          <w:tcPr>
            <w:tcW w:type="dxa" w:w="4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16</w:t>
            </w:r>
          </w:p>
        </w:tc>
        <w:tc>
          <w:tcPr>
            <w:tcW w:type="dxa" w:w="281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Oyinlola &amp; Shire 2018, BSERT</w:t>
            </w:r>
          </w:p>
        </w:tc>
        <w:tc>
          <w:tcPr>
            <w:tcW w:type="dxa" w:w="110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Lab rig</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Plots</w:t>
            </w:r>
          </w:p>
        </w:tc>
        <w:tc>
          <w:tcPr>
            <w:tcW w:type="dxa" w:w="19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n/a</w:t>
            </w:r>
          </w:p>
        </w:tc>
        <w:tc>
          <w:tcPr>
            <w:tcW w:type="dxa" w:w="80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Rig</w:t>
            </w:r>
          </w:p>
        </w:tc>
        <w:tc>
          <w:tcPr>
            <w:tcW w:type="dxa" w:w="180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Background</w:t>
            </w:r>
          </w:p>
        </w:tc>
      </w:tr>
    </w:tbl>
    <w:p>
      <w:pPr>
        <w:pStyle w:val="Heading2"/>
        <w:keepNext/>
        <w:spacing w:after="120" w:before="280"/>
      </w:pPr>
      <w:r>
        <w:t xml:space="preserve">14.3 Method check — Del Col et al. 2013 (tested roll-bond collectors)</w:t>
      </w:r>
    </w:p>
    <w:p>
      <w:pPr>
        <w:spacing w:after="120" w:before="0" w:line="276" w:lineRule="auto"/>
        <w:jc w:val="both"/>
      </w:pPr>
      <w:r>
        <w:t xml:space="preserve">The same Hottel-Whillier-Bliss fin model with Klein's top-loss correlation was applied without any tuning. Stated inputs were used as given (aperture 1.81 m², 28 channels, Ø 3.7 mm, 1.5 mm Al, α/ε, 0.02 kg/s·m², G 800–1000 W/m², T_amb 8–12 °C, wind 1.4 m/s). The 11 unstated inputs (glass τ and ε, width, Al k, insulation, edge loss, Nu, bond footprint, wind coefficient, tilt, ambient) were sampled over typical ranges in 2,000 Monte Carlo runs (ENGINEERING_ASSUMPTION).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888"/>
        <w:gridCol w:w="1192"/>
        <w:gridCol w:w="1292"/>
        <w:gridCol w:w="1888"/>
        <w:gridCol w:w="1987"/>
        <w:gridCol w:w="1391"/>
      </w:tblGrid>
      <w:tr>
        <w:trPr>
          <w:cantSplit/>
          <w:tblHeader/>
        </w:trPr>
        <w:tc>
          <w:tcPr>
            <w:tcW w:type="dxa" w:w="188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Collector</w:t>
            </w:r>
          </w:p>
        </w:tc>
        <w:tc>
          <w:tcPr>
            <w:tcW w:type="dxa" w:w="119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Coefficient</w:t>
            </w:r>
          </w:p>
        </w:tc>
        <w:tc>
          <w:tcPr>
            <w:tcW w:type="dxa" w:w="129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Model nominal</w:t>
            </w:r>
          </w:p>
        </w:tc>
        <w:tc>
          <w:tcPr>
            <w:tcW w:type="dxa" w:w="188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Model 95 % band</w:t>
            </w:r>
          </w:p>
        </w:tc>
        <w:tc>
          <w:tcPr>
            <w:tcW w:type="dxa" w:w="198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Measured ± U95</w:t>
            </w:r>
          </w:p>
        </w:tc>
        <w:tc>
          <w:tcPr>
            <w:tcW w:type="dxa" w:w="13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Inside U95?</w:t>
            </w:r>
          </w:p>
        </w:tc>
      </w:tr>
      <w:tr>
        <w:trPr>
          <w:cantSplit/>
          <w:tblHeader w:val="false"/>
        </w:trPr>
        <w:tc>
          <w:tcPr>
            <w:tcW w:type="dxa" w:w="188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Black roll-bond</w:t>
            </w:r>
          </w:p>
        </w:tc>
        <w:tc>
          <w:tcPr>
            <w:tcW w:type="dxa" w:w="11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η0</w:t>
            </w:r>
          </w:p>
        </w:tc>
        <w:tc>
          <w:tcPr>
            <w:tcW w:type="dxa" w:w="12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0.862</w:t>
            </w:r>
          </w:p>
        </w:tc>
        <w:tc>
          <w:tcPr>
            <w:tcW w:type="dxa" w:w="188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0.848–0.876</w:t>
            </w:r>
          </w:p>
        </w:tc>
        <w:tc>
          <w:tcPr>
            <w:tcW w:type="dxa" w:w="198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0.7995 ± 0.0108</w:t>
            </w:r>
          </w:p>
        </w:tc>
        <w:tc>
          <w:tcPr>
            <w:tcW w:type="dxa" w:w="13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(+7.8 %)</w:t>
            </w:r>
          </w:p>
        </w:tc>
      </w:tr>
      <w:tr>
        <w:trPr>
          <w:cantSplit/>
          <w:tblHeader w:val="false"/>
        </w:trPr>
        <w:tc>
          <w:tcPr>
            <w:tcW w:type="dxa" w:w="188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11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a1 W/m²K</w:t>
            </w:r>
          </w:p>
        </w:tc>
        <w:tc>
          <w:tcPr>
            <w:tcW w:type="dxa" w:w="12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5.37</w:t>
            </w:r>
          </w:p>
        </w:tc>
        <w:tc>
          <w:tcPr>
            <w:tcW w:type="dxa" w:w="188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5.05–5.77</w:t>
            </w:r>
          </w:p>
        </w:tc>
        <w:tc>
          <w:tcPr>
            <w:tcW w:type="dxa" w:w="198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4.69 ± 0.79</w:t>
            </w:r>
          </w:p>
        </w:tc>
        <w:tc>
          <w:tcPr>
            <w:tcW w:type="dxa" w:w="13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r>
      <w:tr>
        <w:trPr>
          <w:cantSplit/>
          <w:tblHeader w:val="false"/>
        </w:trPr>
        <w:tc>
          <w:tcPr>
            <w:tcW w:type="dxa" w:w="188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11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a2 W/m²K²</w:t>
            </w:r>
          </w:p>
        </w:tc>
        <w:tc>
          <w:tcPr>
            <w:tcW w:type="dxa" w:w="12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0.0185</w:t>
            </w:r>
          </w:p>
        </w:tc>
        <w:tc>
          <w:tcPr>
            <w:tcW w:type="dxa" w:w="188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0.0174–0.0198</w:t>
            </w:r>
          </w:p>
        </w:tc>
        <w:tc>
          <w:tcPr>
            <w:tcW w:type="dxa" w:w="198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0.0288 ± 0.0121</w:t>
            </w:r>
          </w:p>
        </w:tc>
        <w:tc>
          <w:tcPr>
            <w:tcW w:type="dxa" w:w="13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r>
      <w:tr>
        <w:trPr>
          <w:cantSplit/>
          <w:tblHeader w:val="false"/>
        </w:trPr>
        <w:tc>
          <w:tcPr>
            <w:tcW w:type="dxa" w:w="188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Semi-selective roll-bond</w:t>
            </w:r>
          </w:p>
        </w:tc>
        <w:tc>
          <w:tcPr>
            <w:tcW w:type="dxa" w:w="11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η0</w:t>
            </w:r>
          </w:p>
        </w:tc>
        <w:tc>
          <w:tcPr>
            <w:tcW w:type="dxa" w:w="12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0.785</w:t>
            </w:r>
          </w:p>
        </w:tc>
        <w:tc>
          <w:tcPr>
            <w:tcW w:type="dxa" w:w="188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0.773–0.798</w:t>
            </w:r>
          </w:p>
        </w:tc>
        <w:tc>
          <w:tcPr>
            <w:tcW w:type="dxa" w:w="198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0.7409 ± 0.0110</w:t>
            </w:r>
          </w:p>
        </w:tc>
        <w:tc>
          <w:tcPr>
            <w:tcW w:type="dxa" w:w="13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(+6.0 %)</w:t>
            </w:r>
          </w:p>
        </w:tc>
      </w:tr>
      <w:tr>
        <w:trPr>
          <w:cantSplit/>
          <w:tblHeader w:val="false"/>
        </w:trPr>
        <w:tc>
          <w:tcPr>
            <w:tcW w:type="dxa" w:w="188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11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a1 W/m²K</w:t>
            </w:r>
          </w:p>
        </w:tc>
        <w:tc>
          <w:tcPr>
            <w:tcW w:type="dxa" w:w="129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4.26</w:t>
            </w:r>
          </w:p>
        </w:tc>
        <w:tc>
          <w:tcPr>
            <w:tcW w:type="dxa" w:w="188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3.99–4.60</w:t>
            </w:r>
          </w:p>
        </w:tc>
        <w:tc>
          <w:tcPr>
            <w:tcW w:type="dxa" w:w="198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4.55 ± 0.69</w:t>
            </w:r>
          </w:p>
        </w:tc>
        <w:tc>
          <w:tcPr>
            <w:tcW w:type="dxa" w:w="13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r>
      <w:tr>
        <w:trPr>
          <w:cantSplit/>
          <w:tblHeader w:val="false"/>
        </w:trPr>
        <w:tc>
          <w:tcPr>
            <w:tcW w:type="dxa" w:w="188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
            </w:r>
          </w:p>
        </w:tc>
        <w:tc>
          <w:tcPr>
            <w:tcW w:type="dxa" w:w="11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a2 W/m²K²</w:t>
            </w:r>
          </w:p>
        </w:tc>
        <w:tc>
          <w:tcPr>
            <w:tcW w:type="dxa" w:w="129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0.0118</w:t>
            </w:r>
          </w:p>
        </w:tc>
        <w:tc>
          <w:tcPr>
            <w:tcW w:type="dxa" w:w="188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0.0113–0.0125</w:t>
            </w:r>
          </w:p>
        </w:tc>
        <w:tc>
          <w:tcPr>
            <w:tcW w:type="dxa" w:w="198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0.0131 ± 0.0100</w:t>
            </w:r>
          </w:p>
        </w:tc>
        <w:tc>
          <w:tcPr>
            <w:tcW w:type="dxa" w:w="13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Yes</w:t>
            </w:r>
          </w:p>
        </w:tc>
      </w:tr>
    </w:tbl>
    <w:p>
      <w:pPr>
        <w:keepNext/>
        <w:spacing w:after="60" w:before="120"/>
      </w:pPr>
      <w:r>
        <w:rPr>
          <w:i/>
          <w:iCs/>
          <w:color w:val="4A4D52"/>
          <w:sz w:val="17"/>
          <w:szCs w:val="17"/>
        </w:rPr>
        <w:t xml:space="preserve">Table 14.1. Model vs measured efficiency coefficients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461"/>
        <w:gridCol w:w="1025"/>
        <w:gridCol w:w="1025"/>
        <w:gridCol w:w="1025"/>
        <w:gridCol w:w="1025"/>
        <w:gridCol w:w="1025"/>
        <w:gridCol w:w="1025"/>
        <w:gridCol w:w="1027"/>
      </w:tblGrid>
      <w:tr>
        <w:trPr>
          <w:cantSplit/>
          <w:tblHeader/>
        </w:trPr>
        <w:tc>
          <w:tcPr>
            <w:tcW w:type="dxa" w:w="246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Tm* (m²K/W)</w:t>
            </w:r>
          </w:p>
        </w:tc>
        <w:tc>
          <w:tcPr>
            <w:tcW w:type="dxa" w:w="102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0</w:t>
            </w:r>
          </w:p>
        </w:tc>
        <w:tc>
          <w:tcPr>
            <w:tcW w:type="dxa" w:w="102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0.01</w:t>
            </w:r>
          </w:p>
        </w:tc>
        <w:tc>
          <w:tcPr>
            <w:tcW w:type="dxa" w:w="102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0.02</w:t>
            </w:r>
          </w:p>
        </w:tc>
        <w:tc>
          <w:tcPr>
            <w:tcW w:type="dxa" w:w="102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0.03</w:t>
            </w:r>
          </w:p>
        </w:tc>
        <w:tc>
          <w:tcPr>
            <w:tcW w:type="dxa" w:w="102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0.04</w:t>
            </w:r>
          </w:p>
        </w:tc>
        <w:tc>
          <w:tcPr>
            <w:tcW w:type="dxa" w:w="102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0.06</w:t>
            </w:r>
          </w:p>
        </w:tc>
        <w:tc>
          <w:tcPr>
            <w:tcW w:type="dxa" w:w="102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0.08</w:t>
            </w:r>
          </w:p>
        </w:tc>
      </w:tr>
      <w:tr>
        <w:trPr>
          <w:cantSplit/>
          <w:tblHeader w:val="false"/>
        </w:trPr>
        <w:tc>
          <w:tcPr>
            <w:tcW w:type="dxa" w:w="246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Black: deviation %</w:t>
            </w:r>
          </w:p>
        </w:tc>
        <w:tc>
          <w:tcPr>
            <w:tcW w:type="dxa" w:w="102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+7.9</w:t>
            </w:r>
          </w:p>
        </w:tc>
        <w:tc>
          <w:tcPr>
            <w:tcW w:type="dxa" w:w="102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+7.6</w:t>
            </w:r>
          </w:p>
        </w:tc>
        <w:tc>
          <w:tcPr>
            <w:tcW w:type="dxa" w:w="102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+7.7</w:t>
            </w:r>
          </w:p>
        </w:tc>
        <w:tc>
          <w:tcPr>
            <w:tcW w:type="dxa" w:w="102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+8.2</w:t>
            </w:r>
          </w:p>
        </w:tc>
        <w:tc>
          <w:tcPr>
            <w:tcW w:type="dxa" w:w="102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+9.2</w:t>
            </w:r>
          </w:p>
        </w:tc>
        <w:tc>
          <w:tcPr>
            <w:tcW w:type="dxa" w:w="102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+14.3</w:t>
            </w:r>
          </w:p>
        </w:tc>
        <w:tc>
          <w:tcPr>
            <w:tcW w:type="dxa" w:w="102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+31.1</w:t>
            </w:r>
          </w:p>
        </w:tc>
      </w:tr>
      <w:tr>
        <w:trPr>
          <w:cantSplit/>
          <w:tblHeader w:val="false"/>
        </w:trPr>
        <w:tc>
          <w:tcPr>
            <w:tcW w:type="dxa" w:w="246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Semi-selective: deviation %</w:t>
            </w:r>
          </w:p>
        </w:tc>
        <w:tc>
          <w:tcPr>
            <w:tcW w:type="dxa" w:w="102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+6.0</w:t>
            </w:r>
          </w:p>
        </w:tc>
        <w:tc>
          <w:tcPr>
            <w:tcW w:type="dxa" w:w="102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+6.8</w:t>
            </w:r>
          </w:p>
        </w:tc>
        <w:tc>
          <w:tcPr>
            <w:tcW w:type="dxa" w:w="102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+7.9</w:t>
            </w:r>
          </w:p>
        </w:tc>
        <w:tc>
          <w:tcPr>
            <w:tcW w:type="dxa" w:w="102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+9.1</w:t>
            </w:r>
          </w:p>
        </w:tc>
        <w:tc>
          <w:tcPr>
            <w:tcW w:type="dxa" w:w="102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+10.8</w:t>
            </w:r>
          </w:p>
        </w:tc>
        <w:tc>
          <w:tcPr>
            <w:tcW w:type="dxa" w:w="102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+15.7</w:t>
            </w:r>
          </w:p>
        </w:tc>
        <w:tc>
          <w:tcPr>
            <w:tcW w:type="dxa" w:w="102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+25.8</w:t>
            </w:r>
          </w:p>
        </w:tc>
      </w:tr>
    </w:tbl>
    <w:p>
      <w:pPr>
        <w:keepNext/>
        <w:spacing w:after="60" w:before="120"/>
      </w:pPr>
      <w:r>
        <w:rPr>
          <w:i/>
          <w:iCs/>
          <w:color w:val="4A4D52"/>
          <w:sz w:val="17"/>
          <w:szCs w:val="17"/>
        </w:rPr>
        <w:t xml:space="preserve">Table 14.2. Efficiency-curve deviation, model vs measured (G = 1000 W/m²); absolute deviation ≤ 0.076 points</w:t>
      </w:r>
    </w:p>
    <w:p>
      <w:pPr>
        <w:spacing w:after="120" w:before="0" w:line="276" w:lineRule="auto"/>
        <w:jc w:val="both"/>
      </w:pPr>
      <w:r>
        <w:t xml:space="preserve">Result: the heat-loss side (a1, a2) is reproduced within the test uncertainty. η0 is over-predicted by 6–8 %, from optical losses (frame shading, soiling, absorptance) that the ideal model leaves out. Relative deviation grows at high Tm* only because the measured efficiency becomes small.</w:t>
      </w:r>
    </w:p>
    <w:p>
      <w:pPr>
        <w:pStyle w:val="Heading2"/>
        <w:keepNext/>
        <w:spacing w:after="120" w:before="280"/>
      </w:pPr>
      <w:r>
        <w:t xml:space="preserve">14.4 Component check — Beikircher et al. 2015 (TIM and vacuum insulation)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268"/>
        <w:gridCol w:w="2835"/>
        <w:gridCol w:w="2268"/>
        <w:gridCol w:w="2267"/>
      </w:tblGrid>
      <w:tr>
        <w:trPr>
          <w:cantSplit/>
          <w:tblHeader/>
        </w:trPr>
        <w:tc>
          <w:tcPr>
            <w:tcW w:type="dxa" w:w="226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Plate − ambient (K)</w:t>
            </w:r>
          </w:p>
        </w:tc>
        <w:tc>
          <w:tcPr>
            <w:tcW w:type="dxa" w:w="283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GRAIL front U (W/m²K)</w:t>
            </w:r>
          </w:p>
        </w:tc>
        <w:tc>
          <w:tcPr>
            <w:tcW w:type="dxa" w:w="226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Conduction part</w:t>
            </w:r>
          </w:p>
        </w:tc>
        <w:tc>
          <w:tcPr>
            <w:tcW w:type="dxa" w:w="226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Radiation part</w:t>
            </w:r>
          </w:p>
        </w:tc>
      </w:tr>
      <w:tr>
        <w:trPr>
          <w:cantSplit/>
          <w:tblHeader w:val="false"/>
        </w:trPr>
        <w:tc>
          <w:tcPr>
            <w:tcW w:type="dxa" w:w="22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w:t>
            </w:r>
          </w:p>
        </w:tc>
        <w:tc>
          <w:tcPr>
            <w:tcW w:type="dxa" w:w="28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2.057</w:t>
            </w:r>
          </w:p>
        </w:tc>
        <w:tc>
          <w:tcPr>
            <w:tcW w:type="dxa" w:w="22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1.768</w:t>
            </w:r>
          </w:p>
        </w:tc>
        <w:tc>
          <w:tcPr>
            <w:tcW w:type="dxa" w:w="226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0.289</w:t>
            </w:r>
          </w:p>
        </w:tc>
      </w:tr>
      <w:tr>
        <w:trPr>
          <w:cantSplit/>
          <w:tblHeader w:val="false"/>
        </w:trPr>
        <w:tc>
          <w:tcPr>
            <w:tcW w:type="dxa" w:w="22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40</w:t>
            </w:r>
          </w:p>
        </w:tc>
        <w:tc>
          <w:tcPr>
            <w:tcW w:type="dxa" w:w="28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1.961</w:t>
            </w:r>
          </w:p>
        </w:tc>
        <w:tc>
          <w:tcPr>
            <w:tcW w:type="dxa" w:w="22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1.660</w:t>
            </w:r>
          </w:p>
        </w:tc>
        <w:tc>
          <w:tcPr>
            <w:tcW w:type="dxa" w:w="226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0.301</w:t>
            </w:r>
          </w:p>
        </w:tc>
      </w:tr>
      <w:tr>
        <w:trPr>
          <w:cantSplit/>
          <w:tblHeader w:val="false"/>
        </w:trPr>
        <w:tc>
          <w:tcPr>
            <w:tcW w:type="dxa" w:w="22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60</w:t>
            </w:r>
          </w:p>
        </w:tc>
        <w:tc>
          <w:tcPr>
            <w:tcW w:type="dxa" w:w="28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1.949</w:t>
            </w:r>
          </w:p>
        </w:tc>
        <w:tc>
          <w:tcPr>
            <w:tcW w:type="dxa" w:w="22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1.623</w:t>
            </w:r>
          </w:p>
        </w:tc>
        <w:tc>
          <w:tcPr>
            <w:tcW w:type="dxa" w:w="226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0.326</w:t>
            </w:r>
          </w:p>
        </w:tc>
      </w:tr>
      <w:tr>
        <w:trPr>
          <w:cantSplit/>
          <w:tblHeader w:val="false"/>
        </w:trPr>
        <w:tc>
          <w:tcPr>
            <w:tcW w:type="dxa" w:w="22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80</w:t>
            </w:r>
          </w:p>
        </w:tc>
        <w:tc>
          <w:tcPr>
            <w:tcW w:type="dxa" w:w="28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1.959</w:t>
            </w:r>
          </w:p>
        </w:tc>
        <w:tc>
          <w:tcPr>
            <w:tcW w:type="dxa" w:w="22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1.603</w:t>
            </w:r>
          </w:p>
        </w:tc>
        <w:tc>
          <w:tcPr>
            <w:tcW w:type="dxa" w:w="226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0.356</w:t>
            </w:r>
          </w:p>
        </w:tc>
      </w:tr>
    </w:tbl>
    <w:p>
      <w:pPr>
        <w:keepNext/>
        <w:spacing w:after="60" w:before="120"/>
      </w:pPr>
      <w:r>
        <w:rPr>
          <w:i/>
          <w:iCs/>
          <w:color w:val="4A4D52"/>
          <w:sz w:val="17"/>
          <w:szCs w:val="17"/>
        </w:rPr>
        <w:t xml:space="preserve">Table 14.3. GRAIL front heat loss (wind 3 m/s) vs measured 1.95–2.2 W/m²K for honeycomb covers → PASS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284"/>
        <w:gridCol w:w="2142"/>
        <w:gridCol w:w="3212"/>
      </w:tblGrid>
      <w:tr>
        <w:trPr>
          <w:cantSplit/>
          <w:tblHeader/>
        </w:trPr>
        <w:tc>
          <w:tcPr>
            <w:tcW w:type="dxa" w:w="428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Rear case</w:t>
            </w:r>
          </w:p>
        </w:tc>
        <w:tc>
          <w:tcPr>
            <w:tcW w:type="dxa" w:w="214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k (W/m·K)</w:t>
            </w:r>
          </w:p>
        </w:tc>
        <w:tc>
          <w:tcPr>
            <w:tcW w:type="dxa" w:w="321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Rear U, GRAIL stack (W/m²K)</w:t>
            </w:r>
          </w:p>
        </w:tc>
      </w:tr>
      <w:tr>
        <w:trPr>
          <w:cantSplit/>
          <w:tblHeader w:val="false"/>
        </w:trPr>
        <w:tc>
          <w:tcPr>
            <w:tcW w:type="dxa" w:w="42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GRAIL input (catalogue VIP)</w:t>
            </w:r>
          </w:p>
        </w:tc>
        <w:tc>
          <w:tcPr>
            <w:tcW w:type="dxa" w:w="214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0.006</w:t>
            </w:r>
          </w:p>
        </w:tc>
        <w:tc>
          <w:tcPr>
            <w:tcW w:type="dxa" w:w="32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0.272</w:t>
            </w:r>
          </w:p>
        </w:tc>
      </w:tr>
      <w:tr>
        <w:trPr>
          <w:cantSplit/>
          <w:tblHeader w:val="false"/>
        </w:trPr>
        <w:tc>
          <w:tcPr>
            <w:tcW w:type="dxa" w:w="42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in collector, silica VSI</w:t>
            </w:r>
          </w:p>
        </w:tc>
        <w:tc>
          <w:tcPr>
            <w:tcW w:type="dxa" w:w="214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0.010–0.018</w:t>
            </w:r>
          </w:p>
        </w:tc>
        <w:tc>
          <w:tcPr>
            <w:tcW w:type="dxa" w:w="32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0.43–0.69</w:t>
            </w:r>
          </w:p>
        </w:tc>
      </w:tr>
      <w:tr>
        <w:trPr>
          <w:cantSplit/>
          <w:tblHeader w:val="false"/>
        </w:trPr>
        <w:tc>
          <w:tcPr>
            <w:tcW w:type="dxa" w:w="42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perlite VSI</w:t>
            </w:r>
          </w:p>
        </w:tc>
        <w:tc>
          <w:tcPr>
            <w:tcW w:type="dxa" w:w="214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0.020–0.034</w:t>
            </w:r>
          </w:p>
        </w:tc>
        <w:tc>
          <w:tcPr>
            <w:tcW w:type="dxa" w:w="32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0.75–1.07</w:t>
            </w:r>
          </w:p>
        </w:tc>
      </w:tr>
    </w:tbl>
    <w:p>
      <w:pPr>
        <w:keepNext/>
        <w:spacing w:after="60" w:before="120"/>
      </w:pPr>
      <w:r>
        <w:rPr>
          <w:i/>
          <w:iCs/>
          <w:color w:val="4A4D52"/>
          <w:sz w:val="17"/>
          <w:szCs w:val="17"/>
        </w:rPr>
        <w:t xml:space="preserve">Table 14.4. Rear loss: GRAIL is optimistic → a1 2.1 becomes 2.3–2.5 W/m²K (DESIGN_REVIEW_REQUIRED)</w:t>
      </w:r>
    </w:p>
    <w:p>
      <w:pPr>
        <w:pStyle w:val="Heading2"/>
        <w:keepNext/>
        <w:spacing w:after="120" w:before="280"/>
      </w:pPr>
      <w:r>
        <w:t xml:space="preserve">14.5 Comparison of GRAIL with tested collectors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1542"/>
        <w:gridCol w:w="1735"/>
        <w:gridCol w:w="1157"/>
        <w:gridCol w:w="2313"/>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Collector</w:t>
            </w:r>
          </w:p>
        </w:tc>
        <w:tc>
          <w:tcPr>
            <w:tcW w:type="dxa" w:w="154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η0</w:t>
            </w:r>
          </w:p>
        </w:tc>
        <w:tc>
          <w:tcPr>
            <w:tcW w:type="dxa" w:w="173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a1 W/m²K</w:t>
            </w:r>
          </w:p>
        </w:tc>
        <w:tc>
          <w:tcPr>
            <w:tcW w:type="dxa" w:w="115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a2 W/m²K²</w:t>
            </w:r>
          </w:p>
        </w:tc>
        <w:tc>
          <w:tcPr>
            <w:tcW w:type="dxa" w:w="231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GRAIL parallel</w:t>
            </w:r>
          </w:p>
        </w:tc>
        <w:tc>
          <w:tcPr>
            <w:tcW w:type="dxa" w:w="154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0.637</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2.10 (2.3–2.5)</w:t>
            </w:r>
          </w:p>
        </w:tc>
        <w:tc>
          <w:tcPr>
            <w:tcW w:type="dxa" w:w="11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GRAIL alternating</w:t>
            </w:r>
          </w:p>
        </w:tc>
        <w:tc>
          <w:tcPr>
            <w:tcW w:type="dxa" w:w="154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0.597</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2.00</w:t>
            </w:r>
          </w:p>
        </w:tc>
        <w:tc>
          <w:tcPr>
            <w:tcW w:type="dxa" w:w="11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0.0004</w:t>
            </w:r>
          </w:p>
        </w:tc>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Roll-bond black</w:t>
            </w:r>
          </w:p>
        </w:tc>
        <w:tc>
          <w:tcPr>
            <w:tcW w:type="dxa" w:w="154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0.800 ± 0.011</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4.69 ± 0.79</w:t>
            </w:r>
          </w:p>
        </w:tc>
        <w:tc>
          <w:tcPr>
            <w:tcW w:type="dxa" w:w="11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0.029</w:t>
            </w:r>
          </w:p>
        </w:tc>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Del Col 2013</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Roll-bond semi-selective</w:t>
            </w:r>
          </w:p>
        </w:tc>
        <w:tc>
          <w:tcPr>
            <w:tcW w:type="dxa" w:w="154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0.741 ± 0.011</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4.55 ± 0.69</w:t>
            </w:r>
          </w:p>
        </w:tc>
        <w:tc>
          <w:tcPr>
            <w:tcW w:type="dxa" w:w="11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0.013</w:t>
            </w:r>
          </w:p>
        </w:tc>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Del Col 2013</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VSI prototype, AR glass</w:t>
            </w:r>
          </w:p>
        </w:tc>
        <w:tc>
          <w:tcPr>
            <w:tcW w:type="dxa" w:w="154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0.89</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3.28</w:t>
            </w:r>
          </w:p>
        </w:tc>
        <w:tc>
          <w:tcPr>
            <w:tcW w:type="dxa" w:w="115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0.014</w:t>
            </w:r>
          </w:p>
        </w:tc>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Beikircher 2015</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Honeycomb/slat TIM collector</w:t>
            </w:r>
          </w:p>
        </w:tc>
        <w:tc>
          <w:tcPr>
            <w:tcW w:type="dxa" w:w="154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0.732</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7.19</w:t>
            </w:r>
          </w:p>
        </w:tc>
        <w:tc>
          <w:tcPr>
            <w:tcW w:type="dxa" w:w="115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Kessentini (poor coating ε 0.5)</w:t>
            </w:r>
          </w:p>
        </w:tc>
      </w:tr>
    </w:tbl>
    <w:p>
      <w:pPr>
        <w:keepNext/>
        <w:spacing w:after="60" w:before="120"/>
      </w:pPr>
      <w:r>
        <w:rPr>
          <w:i/>
          <w:iCs/>
          <w:color w:val="4A4D52"/>
          <w:sz w:val="17"/>
          <w:szCs w:val="17"/>
        </w:rPr>
        <w:t xml:space="preserve">Table 14.5. GRAIL trades optical efficiency for about half the heat loss; curves cross at Tm* ≈ 0.036–0.050 m²K/W</w:t>
      </w:r>
    </w:p>
    <w:p>
      <w:pPr>
        <w:pStyle w:val="Heading2"/>
        <w:keepNext/>
        <w:spacing w:after="120" w:before="280"/>
      </w:pPr>
      <w:r>
        <w:t xml:space="preserve">14.6 V5 verdict against the &lt; 8 % criterion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855"/>
        <w:gridCol w:w="5783"/>
      </w:tblGrid>
      <w:tr>
        <w:trPr>
          <w:cantSplit/>
          <w:tblHeader/>
        </w:trPr>
        <w:tc>
          <w:tcPr>
            <w:tcW w:type="dxa" w:w="385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c>
          <w:tcPr>
            <w:tcW w:type="dxa" w:w="578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Result</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Heat-loss coefficients a1, a2</w:t>
            </w:r>
          </w:p>
        </w:tc>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 — inside measured 95 % uncertainty</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Optical efficiency η0</w:t>
            </w:r>
          </w:p>
        </w:tc>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 (&lt; 8 %), outside test uncertainty</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 curve Tm* ≤ 0.02</w:t>
            </w:r>
          </w:p>
        </w:tc>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 (&lt; 8 %)</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 curve Tm* &gt; 0.03</w:t>
            </w:r>
          </w:p>
        </w:tc>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Relative deviation &gt; 8 % (≤ 0.076 points absolute)</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TIM front loss</w:t>
            </w:r>
          </w:p>
        </w:tc>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VIP rear loss</w:t>
            </w:r>
          </w:p>
        </w:tc>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optimistic; carried as uncertainty</w:t>
            </w:r>
          </w:p>
        </w:tc>
      </w:tr>
    </w:tbl>
    <w:p>
      <w:pPr>
        <w:spacing w:after="120" w:before="0" w:line="276" w:lineRule="auto"/>
        <w:jc w:val="both"/>
      </w:pPr>
      <w:r>
        <w:t xml:space="preserve">Allowed wording: "The modelling method was checked against published experimental data. It reproduces the measured heat-loss coefficients of tested roll-bond collectors within test uncertainty and their optical efficiency within 8 %. No prototype of the present collector was tested." Not allowed: "experimentally validated".</w:t>
      </w:r>
    </w:p>
    <w:p>
      <w:pPr>
        <w:pStyle w:val="Heading1"/>
        <w:pageBreakBefore/>
        <w:spacing w:after="160" w:before="0"/>
      </w:pPr>
      <w:r>
        <w:t xml:space="preserve">15. Patent first pass (V1)</w:t>
      </w:r>
    </w:p>
    <w:p>
      <w:pPr>
        <w:spacing w:after="120" w:before="0" w:line="276" w:lineRule="auto"/>
        <w:jc w:val="both"/>
      </w:pPr>
      <w:r>
        <w:t xml:space="preserve">An engineering first-pass search (Google Patents, Justia, OSTI and literature; not a professional search, not legal advice) found no document combining a roll-bond absorber with channels converging along the flow by a grading law, alone or with the TIM/PCM/VIP stack.</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855"/>
        <w:gridCol w:w="1735"/>
        <w:gridCol w:w="4048"/>
      </w:tblGrid>
      <w:tr>
        <w:trPr>
          <w:cantSplit/>
          <w:tblHeader/>
        </w:trPr>
        <w:tc>
          <w:tcPr>
            <w:tcW w:type="dxa" w:w="385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Document</w:t>
            </w:r>
          </w:p>
        </w:tc>
        <w:tc>
          <w:tcPr>
            <w:tcW w:type="dxa" w:w="173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Status</w:t>
            </w:r>
          </w:p>
        </w:tc>
        <w:tc>
          <w:tcPr>
            <w:tcW w:type="dxa" w:w="404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Relation to GRAIL</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EP2313705A1 / WO2010064078A1 roll-bond absorber</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Withdrawn / ceased</w:t>
            </w:r>
          </w:p>
        </w:tc>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Uniform parallel channels</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EP1916486A2 solar collector system</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Withdrawn</w:t>
            </w:r>
          </w:p>
        </w:tc>
        <w:tc>
          <w:tcPr>
            <w:tcW w:type="dxa" w:w="4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Different sizes between channels, not a taper</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CN103557603A inflated flat-plate collector</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Rejected</w:t>
            </w:r>
          </w:p>
        </w:tc>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Fixed section</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DE10344084A1 adapted flow resistance</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Expired</w:t>
            </w:r>
          </w:p>
        </w:tc>
        <w:tc>
          <w:tcPr>
            <w:tcW w:type="dxa" w:w="4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taper along the flow</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EP2522927A2 aerogel + honeycomb TIM collector</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Granted</w:t>
            </w:r>
          </w:p>
        </w:tc>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Freedom-to-operate note if an aerogel layer is used</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Li 2024, Ding 2025 (heat sinks)</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Literature</w:t>
            </w:r>
          </w:p>
        </w:tc>
        <w:tc>
          <w:tcPr>
            <w:tcW w:type="dxa" w:w="4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Tapered / variable-width channels in heat sinks</w:t>
            </w:r>
          </w:p>
        </w:tc>
      </w:tr>
    </w:tbl>
    <w:p>
      <w:pPr>
        <w:spacing w:after="120" w:before="0" w:line="276" w:lineRule="auto"/>
        <w:jc w:val="both"/>
      </w:pPr>
      <w:r>
        <w:t xml:space="preserve">Assessment: novelty possible; inventive step weak–moderate (alternating flow shows no benefit at matched plate temperature; the optimiser moves G towards 1). Decision recorded: publish, no patent filing.</w:t>
      </w:r>
    </w:p>
    <w:p>
      <w:pPr>
        <w:pStyle w:val="Heading1"/>
        <w:pageBreakBefore/>
        <w:spacing w:after="160" w:before="0"/>
      </w:pPr>
      <w:r>
        <w:t xml:space="preserve">16. Assumptions, open design items and limitations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699"/>
        <w:gridCol w:w="6939"/>
      </w:tblGrid>
      <w:tr>
        <w:trPr>
          <w:cantSplit/>
          <w:tblHeader/>
        </w:trPr>
        <w:tc>
          <w:tcPr>
            <w:tcW w:type="dxa" w:w="269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Tag</w:t>
            </w:r>
          </w:p>
        </w:tc>
        <w:tc>
          <w:tcPr>
            <w:tcW w:type="dxa" w:w="693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r>
      <w:tr>
        <w:trPr>
          <w:cantSplit/>
          <w:tblHeader w:val="false"/>
        </w:trPr>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w:t>
            </w:r>
          </w:p>
        </w:tc>
        <w:tc>
          <w:tcPr>
            <w:tcW w:type="dxa" w:w="693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Whole manifold geometry (header bore, length, risers, ports)</w:t>
            </w:r>
          </w:p>
        </w:tc>
      </w:tr>
      <w:tr>
        <w:trPr>
          <w:cantSplit/>
          <w:tblHeader w:val="false"/>
        </w:trPr>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w:t>
            </w:r>
          </w:p>
        </w:tc>
        <w:tc>
          <w:tcPr>
            <w:tcW w:type="dxa" w:w="693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3-D benchmark loss model (U_top 4.19, h_rear 3.0); constant water properties in 3-D</w:t>
            </w:r>
          </w:p>
        </w:tc>
      </w:tr>
      <w:tr>
        <w:trPr>
          <w:cantSplit/>
          <w:tblHeader w:val="false"/>
        </w:trPr>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w:t>
            </w:r>
          </w:p>
        </w:tc>
        <w:tc>
          <w:tcPr>
            <w:tcW w:type="dxa" w:w="693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Tilt 19.3° S; IAM b0 0.10; C_eff 33.5 kJ/m²K; tank 100 kg, UA 1.5 W/K; 100 L/day at 45 °C; draw profile; mains = 24 h mean ambient; pump 15 W; geyser 95 %; capex model; 15 yr, 8 %, 1 % O&amp;M</w:t>
            </w:r>
          </w:p>
        </w:tc>
      </w:tr>
      <w:tr>
        <w:trPr>
          <w:cantSplit/>
          <w:tblHeader w:val="false"/>
        </w:trPr>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w:t>
            </w:r>
          </w:p>
        </w:tc>
        <w:tc>
          <w:tcPr>
            <w:tcW w:type="dxa" w:w="693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NSGA-II reference point; design flow 2.75 g/s</w:t>
            </w:r>
          </w:p>
        </w:tc>
      </w:tr>
      <w:tr>
        <w:trPr>
          <w:cantSplit/>
          <w:tblHeader w:val="false"/>
        </w:trPr>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w:t>
            </w:r>
          </w:p>
        </w:tc>
        <w:tc>
          <w:tcPr>
            <w:tcW w:type="dxa" w:w="693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Unstated inputs of the Del Col check (Monte Carlo ranges)</w:t>
            </w:r>
          </w:p>
        </w:tc>
      </w:tr>
      <w:tr>
        <w:trPr>
          <w:cantSplit/>
          <w:tblHeader w:val="false"/>
        </w:trPr>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DESIGN_REVIEW_REQUIRED</w:t>
            </w:r>
          </w:p>
        </w:tc>
        <w:tc>
          <w:tcPr>
            <w:tcW w:type="dxa" w:w="693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VIP conductivity: use a measured in-collector value (0.010–0.018 W/m·K)</w:t>
            </w:r>
          </w:p>
        </w:tc>
      </w:tr>
      <w:tr>
        <w:trPr>
          <w:cantSplit/>
          <w:tblHeader w:val="false"/>
        </w:trPr>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DESIGN_REVIEW_REQUIRED</w:t>
            </w:r>
          </w:p>
        </w:tc>
        <w:tc>
          <w:tcPr>
            <w:tcW w:type="dxa" w:w="693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Stagnation above 420 K for ≥ 3 modules: overheat protection needed</w:t>
            </w:r>
          </w:p>
        </w:tc>
      </w:tr>
      <w:tr>
        <w:trPr>
          <w:cantSplit/>
          <w:tblHeader w:val="false"/>
        </w:trPr>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DESIGN_REVIEW_REQUIRED</w:t>
            </w:r>
          </w:p>
        </w:tc>
        <w:tc>
          <w:tcPr>
            <w:tcW w:type="dxa" w:w="693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Converging-channel benefit: not supported for efficiency in the range studied</w:t>
            </w:r>
          </w:p>
        </w:tc>
      </w:tr>
      <w:tr>
        <w:trPr>
          <w:cantSplit/>
          <w:tblHeader w:val="false"/>
        </w:trPr>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Open (C7, C8)</w:t>
            </w:r>
          </w:p>
        </w:tc>
        <w:tc>
          <w:tcPr>
            <w:tcW w:type="dxa" w:w="693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 dimensions and frame wall thickness</w:t>
            </w:r>
          </w:p>
        </w:tc>
      </w:tr>
      <w:tr>
        <w:trPr>
          <w:cantSplit/>
          <w:tblHeader w:val="false"/>
        </w:trPr>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Open (V6)</w:t>
            </w:r>
          </w:p>
        </w:tc>
        <w:tc>
          <w:tcPr>
            <w:tcW w:type="dxa" w:w="693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Supplier datasheets for TIM, PCM, VIP</w:t>
            </w:r>
          </w:p>
        </w:tc>
      </w:tr>
      <w:tr>
        <w:trPr>
          <w:cantSplit/>
          <w:tblHeader w:val="false"/>
        </w:trPr>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Deferred</w:t>
            </w:r>
          </w:p>
        </w:tc>
        <w:tc>
          <w:tcPr>
            <w:tcW w:type="dxa" w:w="693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 latent heat; 3-D radiation/optics; full 3-D campaign; topology optimisation (Stage 4)</w:t>
            </w:r>
          </w:p>
        </w:tc>
      </w:tr>
    </w:tbl>
    <w:p>
      <w:pPr>
        <w:pStyle w:val="Heading2"/>
        <w:keepNext/>
        <w:spacing w:after="120" w:before="280"/>
      </w:pPr>
      <w:r>
        <w:t xml:space="preserve">16.1 Limitations</w:t>
      </w:r>
    </w:p>
    <w:p>
      <w:pPr>
        <w:pStyle w:val="ListParagraph"/>
        <w:numPr>
          <w:ilvl w:val="0"/>
          <w:numId w:val="2"/>
        </w:numPr>
        <w:spacing w:after="80" w:before="0" w:line="276" w:lineRule="auto"/>
      </w:pPr>
      <w:r>
        <w:t xml:space="preserve">Simulation only; no measurement of the GRAIL collector.</w:t>
      </w:r>
    </w:p>
    <w:p>
      <w:pPr>
        <w:pStyle w:val="ListParagraph"/>
        <w:numPr>
          <w:ilvl w:val="0"/>
          <w:numId w:val="2"/>
        </w:numPr>
        <w:spacing w:after="80" w:before="0" w:line="276" w:lineRule="auto"/>
      </w:pPr>
      <w:r>
        <w:t xml:space="preserve">Optical efficiency may be optimistic by up to ≈ 7 % (Del Col check); a1 may be up to 2.5 W/m²K (Beikircher check).</w:t>
      </w:r>
    </w:p>
    <w:p>
      <w:pPr>
        <w:pStyle w:val="ListParagraph"/>
        <w:numPr>
          <w:ilvl w:val="0"/>
          <w:numId w:val="2"/>
        </w:numPr>
        <w:spacing w:after="80" w:before="0" w:line="276" w:lineRule="auto"/>
      </w:pPr>
      <w:r>
        <w:t xml:space="preserve">Single collector node and fully mixed tank in the annual model; capital cost assumed.</w:t>
      </w:r>
    </w:p>
    <w:p>
      <w:pPr>
        <w:pStyle w:val="ListParagraph"/>
        <w:numPr>
          <w:ilvl w:val="0"/>
          <w:numId w:val="2"/>
        </w:numPr>
        <w:spacing w:after="80" w:before="0" w:line="276" w:lineRule="auto"/>
      </w:pPr>
      <w:r>
        <w:t xml:space="preserve">Alternating-flow uniformity overstated by ≈ 2 points in GRAIL-CHT (Nu undefined where heat flow reverses).</w:t>
      </w:r>
    </w:p>
    <w:p>
      <w:pPr>
        <w:pStyle w:val="Heading1"/>
        <w:pageBreakBefore/>
        <w:spacing w:after="160" w:before="0"/>
      </w:pPr>
      <w:r>
        <w:t xml:space="preserve">17. Conclusions</w:t>
      </w:r>
    </w:p>
    <w:p>
      <w:pPr>
        <w:pStyle w:val="ListParagraph"/>
        <w:numPr>
          <w:ilvl w:val="0"/>
          <w:numId w:val="2"/>
        </w:numPr>
        <w:spacing w:after="80" w:before="0" w:line="276" w:lineRule="auto"/>
      </w:pPr>
      <w:r>
        <w:t xml:space="preserve">A converging roll-bond absorber with a glass + honeycomb TIM cover and PCM + VIP rear was modelled from CAD through 3-D CFD to annual economics, with every step verified.</w:t>
      </w:r>
    </w:p>
    <w:p>
      <w:pPr>
        <w:pStyle w:val="ListParagraph"/>
        <w:numPr>
          <w:ilvl w:val="0"/>
          <w:numId w:val="2"/>
        </w:numPr>
        <w:spacing w:after="80" w:before="0" w:line="276" w:lineRule="auto"/>
      </w:pPr>
      <w:r>
        <w:t xml:space="preserve">The corrected conjugate Nusselt number is 4.48 (GCI 2.1 %); GRAIL-CHT with this closure reproduces the 3-D solution.</w:t>
      </w:r>
    </w:p>
    <w:p>
      <w:pPr>
        <w:pStyle w:val="ListParagraph"/>
        <w:numPr>
          <w:ilvl w:val="0"/>
          <w:numId w:val="2"/>
        </w:numPr>
        <w:spacing w:after="80" w:before="0" w:line="276" w:lineRule="auto"/>
      </w:pPr>
      <w:r>
        <w:t xml:space="preserve">Alternating flow lowers efficiency by 7.3 % at equal inputs; at the same plate temperature efficiency is equal and uniformity is worse at design flow. The cause is heat returned to the plate (≈ 40 %).</w:t>
      </w:r>
    </w:p>
    <w:p>
      <w:pPr>
        <w:pStyle w:val="ListParagraph"/>
        <w:numPr>
          <w:ilvl w:val="0"/>
          <w:numId w:val="2"/>
        </w:numPr>
        <w:spacing w:after="80" w:before="0" w:line="276" w:lineRule="auto"/>
      </w:pPr>
      <w:r>
        <w:t xml:space="preserve">The ANN surrogate (R² ≥ 0.9994) and NSGA-II optimisation are verified against the solver; the optimum favours high flow and straight channels for efficiency.</w:t>
      </w:r>
    </w:p>
    <w:p>
      <w:pPr>
        <w:pStyle w:val="ListParagraph"/>
        <w:numPr>
          <w:ilvl w:val="0"/>
          <w:numId w:val="2"/>
        </w:numPr>
        <w:spacing w:after="80" w:before="0" w:line="276" w:lineRule="auto"/>
      </w:pPr>
      <w:r>
        <w:t xml:space="preserve">The collector has η0 0.637 and a1 2.1 (up to 2.5) W/m²K — about half the heat loss of tested roll-bond collectors — and outperforms them above Tm* ≈ 0.04–0.05 m²K/W.</w:t>
      </w:r>
    </w:p>
    <w:p>
      <w:pPr>
        <w:pStyle w:val="ListParagraph"/>
        <w:numPr>
          <w:ilvl w:val="0"/>
          <w:numId w:val="2"/>
        </w:numPr>
        <w:spacing w:after="80" w:before="0" w:line="276" w:lineRule="auto"/>
      </w:pPr>
      <w:r>
        <w:t xml:space="preserve">In Berhampur a 2-module system covers 83–86 % of a 100 L/day load at Rs 4.34–4.49 per kWh, cheaper than an electric geyser, payback ≈ 7.5 years.</w:t>
      </w:r>
    </w:p>
    <w:p>
      <w:pPr>
        <w:pStyle w:val="ListParagraph"/>
        <w:numPr>
          <w:ilvl w:val="0"/>
          <w:numId w:val="2"/>
        </w:numPr>
        <w:spacing w:after="80" w:before="0" w:line="276" w:lineRule="auto"/>
      </w:pPr>
      <w:r>
        <w:t xml:space="preserve">Four independent system models agree. The method was checked against published experiments (partial pass). A prototype test is the next step.</w:t>
      </w:r>
    </w:p>
    <w:p>
      <w:pPr>
        <w:pStyle w:val="Heading1"/>
        <w:pageBreakBefore/>
        <w:spacing w:after="160" w:before="0"/>
      </w:pPr>
      <w:r>
        <w:t xml:space="preserve">18. Files and folders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084"/>
        <w:gridCol w:w="6554"/>
      </w:tblGrid>
      <w:tr>
        <w:trPr>
          <w:cantSplit/>
          <w:tblHeader/>
        </w:trPr>
        <w:tc>
          <w:tcPr>
            <w:tcW w:type="dxa" w:w="308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Folder</w:t>
            </w:r>
          </w:p>
        </w:tc>
        <w:tc>
          <w:tcPr>
            <w:tcW w:type="dxa" w:w="655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Contents</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00_README.md</w:t>
            </w:r>
          </w:p>
        </w:tc>
        <w:tc>
          <w:tcPr>
            <w:tcW w:type="dxa" w:w="655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Package guide</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01_Roadmap</w:t>
            </w:r>
          </w:p>
        </w:tc>
        <w:tc>
          <w:tcPr>
            <w:tcW w:type="dxa" w:w="655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Rev I, completion status Rev 4.2</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02_Reports</w:t>
            </w:r>
          </w:p>
        </w:tc>
        <w:tc>
          <w:tcPr>
            <w:tcW w:type="dxa" w:w="655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 report Rev 4.1, CAD report, correction report, audit addendum, paper draft, this report</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03_CAD</w:t>
            </w:r>
          </w:p>
        </w:tc>
        <w:tc>
          <w:tcPr>
            <w:tcW w:type="dxa" w:w="655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Fusion (.f3d), STEP, strips, gate JSON, geometry scripts</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04_Figures</w:t>
            </w:r>
          </w:p>
        </w:tc>
        <w:tc>
          <w:tcPr>
            <w:tcW w:type="dxa" w:w="655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F01–F14 (current), legacy figures</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05_Videos</w:t>
            </w:r>
          </w:p>
        </w:tc>
        <w:tc>
          <w:tcPr>
            <w:tcW w:type="dxa" w:w="655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3-D conjugate CFD video</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06_Datasets</w:t>
            </w:r>
          </w:p>
        </w:tc>
        <w:tc>
          <w:tcPr>
            <w:tcW w:type="dxa" w:w="655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Rev 4.2 dataset, dictionary, workbook with Stages 3–7</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07_Results_JSON</w:t>
            </w:r>
          </w:p>
        </w:tc>
        <w:tc>
          <w:tcPr>
            <w:tcW w:type="dxa" w:w="655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Benchmark, Nu profiles, ROM runs, uncertainty</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08_Tables</w:t>
            </w:r>
          </w:p>
        </w:tc>
        <w:tc>
          <w:tcPr>
            <w:tcW w:type="dxa" w:w="655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T1–T6</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09_Records_MD</w:t>
            </w:r>
          </w:p>
        </w:tc>
        <w:tc>
          <w:tcPr>
            <w:tcW w:type="dxa" w:w="655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Provenance records, audit outputs</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10_Code</w:t>
            </w:r>
          </w:p>
        </w:tc>
        <w:tc>
          <w:tcPr>
            <w:tcW w:type="dxa" w:w="655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CFD, post-processing, report scripts</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11_Validation_V5</w:t>
            </w:r>
          </w:p>
        </w:tc>
        <w:tc>
          <w:tcPr>
            <w:tcW w:type="dxa" w:w="655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Screening of 16 papers, V5 final record</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12_Stages_3-5-6-7</w:t>
            </w:r>
          </w:p>
        </w:tc>
        <w:tc>
          <w:tcPr>
            <w:tcW w:type="dxa" w:w="655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ANN, NSGA-II, efficiency curves, annual/economics</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13_Octave_system_model</w:t>
            </w:r>
          </w:p>
        </w:tc>
        <w:tc>
          <w:tcPr>
            <w:tcW w:type="dxa" w:w="655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Octave model, compare_with_python.m</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14_Xcos_block_diagram_model</w:t>
            </w:r>
          </w:p>
        </w:tc>
        <w:tc>
          <w:tcPr>
            <w:tcW w:type="dxa" w:w="655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GRAIL_system.zcos</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15_Run_in_VSCode</w:t>
            </w:r>
          </w:p>
        </w:tc>
        <w:tc>
          <w:tcPr>
            <w:tcW w:type="dxa" w:w="655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One launcher for all re-runnable stages</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16_JSON_Python_Mirror</w:t>
            </w:r>
          </w:p>
        </w:tc>
        <w:tc>
          <w:tcPr>
            <w:tcW w:type="dxa" w:w="655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65 JSON results as Python</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17_Simulink_MATLAB_model</w:t>
            </w:r>
          </w:p>
        </w:tc>
        <w:tc>
          <w:tcPr>
            <w:tcW w:type="dxa" w:w="655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GRAIL_simulink_complete_FINAL_v21.m, run records</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18_V7_matched_mean_T</w:t>
            </w:r>
          </w:p>
        </w:tc>
        <w:tc>
          <w:tcPr>
            <w:tcW w:type="dxa" w:w="655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V7 record and results</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19_V5_DelCol_method_check</w:t>
            </w:r>
          </w:p>
        </w:tc>
        <w:tc>
          <w:tcPr>
            <w:tcW w:type="dxa" w:w="655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Del Col method check</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20_Patent_prior_art</w:t>
            </w:r>
          </w:p>
        </w:tc>
        <w:tc>
          <w:tcPr>
            <w:tcW w:type="dxa" w:w="655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V1 first pass</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21_V5_Beikircher_component_check</w:t>
            </w:r>
          </w:p>
        </w:tc>
        <w:tc>
          <w:tcPr>
            <w:tcW w:type="dxa" w:w="655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Beikircher component check</w:t>
            </w:r>
          </w:p>
        </w:tc>
      </w:tr>
    </w:tbl>
    <w:p>
      <w:pPr>
        <w:pStyle w:val="Heading1"/>
        <w:pageBreakBefore/>
        <w:spacing w:after="160" w:before="0"/>
      </w:pPr>
      <w:r>
        <w:t xml:space="preserve">Appendix A. CAD parameter register</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120"/>
        <w:gridCol w:w="1253"/>
        <w:gridCol w:w="1928"/>
        <w:gridCol w:w="4337"/>
      </w:tblGrid>
      <w:tr>
        <w:trPr>
          <w:cantSplit/>
          <w:tblHeader/>
        </w:trPr>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Parameter</w:t>
            </w:r>
          </w:p>
        </w:tc>
        <w:tc>
          <w:tcPr>
            <w:tcW w:type="dxa" w:w="125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c>
          <w:tcPr>
            <w:tcW w:type="dxa" w:w="192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Expression</w:t>
            </w:r>
          </w:p>
        </w:tc>
        <w:tc>
          <w:tcPr>
            <w:tcW w:type="dxa" w:w="433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 note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ap_L</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1100.00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1100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A1 plate length</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ap_W</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480.00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480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A2 plate width</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ap_t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A3 plate thickness = 2 x 1.0mm roll-bond</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n_ch</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A4 number of channels</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ch_pitch</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ap_W / n_ch</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A5 DERIVED channel pitch</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ch_w_in</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8.7009537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ch_h_in * 8.0 / 3.8</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from ch_h_in holding ROADMAP A10 aspect ratio 2.105 (the 6.1 table ratio 8.0/3.8).</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ch_h_in</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4.132953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4.132953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RE-SOLVED 2026-09-14 after r_fillet moved to 0.5 mm. Chosen so the built inlet section gives Dh_in = 5.2000 mm exactly per ROADMAP A6; measured 5.199326. ch_w_in is driven from this holding the A10 aspect ratio 8.0/3.8 = 2.105; measured 2.1053. Previous value 4.02401 mm belonged to the r_fillet 1.0 mm construction.</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ch_AR</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2.10526</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ch_w_in / ch_h_in</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A10 DERIVED aspect ratio, target 2.1</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Dh_in</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5.20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5.2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A6 nominal inlet hydraulic diameter</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G_ratio_A7_baseline</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A7 stated baseline = NO grading</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G_ratio_S61_fusion</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0.54</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0.54</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6.1 Fusion table value and A7 definition: the Dh RATIO Dh_out/Dh_in. NOW MATCHED BY THE GEOMETRY - measured 0.540014. This is the parameter that drives Dh_out.</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G_ratio</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0.527853</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0.527853</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AS-BUILT SECTION SCALE at the outlet, solved 2026-09-14 so the measured Dh ratio equals the ROADMAP A7/6.1 value 0.54 (achieved 0.540014). The channel CONVERGES. NOTE: this parameter is a SECTION SCALE, not the roadmap Dh ratio - the two differ because r_fillet is fixed and does not scale with the section. The roadmap Dh ratio lives in G_ratio_S61_fusion. Sweep range per A7 is 0.35-1.50 on the Dh ratio, but this construction floors the SECTION SCALE at 0.483915; below that the dome inverts silently.</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Dh_out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2.808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Dh_in * G_ratio_S61_fusion</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DRIVEN per ROADMAP 6.1: Dh_out = Dh_in * G_ratio. Uses G_ratio_S61_fusion (0.54), the roadmap Dh ratio. NOTE the parameter named G_ratio in this file holds the SECTION SCALE (0.527853), which is not the same quantity because r_fillet is fixed and does not scale. As-built measured value is in Dh_out_geom.</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lam_G</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A8 grading profile exponent. Baseline 1.0, range 0.5-3.0, SWEPT. SET TO THE A8 BASELINE 1.0 on 2026-09-14. PREVIOUSLY 2.0, justified only by the REFERENCE_IMAGE label Exponential. That image has since been shown to contradict A7, 6.1 and 8.2 on the grading DIRECTION, so it is not a valid source for the EXPONENT either, and the value reverts to the roadmap baseline. The law is Dh(x) = Dh_in*[1 - (1 - G_ratio)*(x/ap_L)^lam_G], so lam_G 1 is linear, below 1 concave (taper early), above 1 convex (taper late). ENDPOINTS ARE INDEPENDENT OF lam_G - at x = ap_L the scale equals G_ratio whatever the exponent - so Dh_in, Dh_out, the Dh ratio and the Reynolds band are unchanged by this. Only the interior profile and the fluid volume change. F10 should sweep it 0.5-3.0.</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P_ratio</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1.00</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A9 pitch grading ratio, 1.0 = uniform pitch</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r_fillet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A11 channel root fillet. Baseline 1.0 mm, range 0.5-2.0, Role FIXED. REDUCED to 0.5 mm by DECISION D4 on 2026-09-14, because at 1.0 mm the tangent-blend section degenerates at h_s = 3.0 mm and floors the section scale at 0.745525, which makes the ROADMAP 6.1 grading G_ratio 0.54 geometrically unreachable. 0.5 mm is the lower end of the A11 range, so this stays inside the roadmap. CONSEQUENCE TO REPORT: A11 Role reads FIXED, so Rev H must record that the fillet was moved within its stated range, and 6.3 notes the fillet carries the lateral conduction path, so F10 should sweep it alongside w_bridge.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f_interdig</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B1 1 = alternating counter-current ACTIVE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n_alt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B2 channels per flow-direction group</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w_bridge_B3_baseline</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34.80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34.8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B3 stated baseline bridge width</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w_bridge</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31.2990463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ch_pitch - ch_w_in * max(1; G_ratio)</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minimum lateral conduction bridge = ch_pitch - ch_w_in*G_ratio. 26.195 mm at the as-built grading. ROADMAP B3 states 34.8 mm - see DESIGN_REVIEW_W_BRIDGE. Filing 1 claims a bridge width SELECTED to reduce the peak-to-mean plate temperature difference, so this is a claimed dimension and must be swept (Rev H F10, 20-60 mm), not assumed.</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alpha_abs</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0.95</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0.95</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C1 solar absorptance TiNOX</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eps_abs</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0.04</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0.04</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C2 emittance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coat_t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0.0003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0.0003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5.1 sputtered TiNOX ~0.3 um</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tau_glz</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0.91</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0.91</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C5 glazing transmittance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glz_t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3.2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5.1 low-iron tempered glass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glz_L</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1160.00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1160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5.2 BOM glazing length</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glz_W</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560.00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560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5.2 BOM glazing width</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t2_t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5.1 thermotropic PMMA layer</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T_sw</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75</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75</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5.1 thermotropic switching temperature in degC</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tim_t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D1 transparent insulation thickness</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tim_cell</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3.50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3.5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D2 honeycomb cell size, cutaway block only</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gap_t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D5 sealed dry air gap</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vip_t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D6 vacuum insulation panel thickness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vip_W</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500.00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5.2 BOM VIP width</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edge_t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D8 aerogel edge insulation</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graph_t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5.1 compressed graphite interface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pcm_t_S51</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11.60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11.6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5.1 layer stack PCM thickness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pcm_t_S61</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6.1 Fusion table PCM thickness, agrees with BOM 4.65 kg</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tray_t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0.8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5.2 BOM ribbed aluminium PCM tray</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back_t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5.1 recycled aluminium backsheet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frame_L</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1200.00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1200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5.0 gross length</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frame_W</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600.00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600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5.0 gross width</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frame_d</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92.00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92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5.1 frame overall depth</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tilt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33.0 deg</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33 deg</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E6 nominal tilt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tilt_min</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10.0 deg</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 deg</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E6 lower adjustable limit</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tilt_max</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45.0 deg</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 deg</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E6 upper adjustable limit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DESIGN_REVIEW_VIP_MASS</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CONFIRMED AT SOURCE, ROADMAP CORRECTION REQUIRED. 5.2 lists the VIP as fumed silica 1120 x 500 x 20 mm at 1.05 kg, which implies 93.75 kg/m3, while 5.3 gives VIP fumed silica 190 kg/m3 - the roadmap contradicts itself. Fumed-silica VIP cores are 160-200 kg/m3, so 5.3 is correct and the 5.2 mass is wrong; it should read 2.13 kg for the BOM dimensions. The CAD uses 190 kg/m3 on a 1100 x 500 x 20 panel (trimmed to ap_L to clear the manifolds) = 2.090 kg. No CAD change required.</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DESIGN_REVIEW_TIM_DENSITY</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CLOSED 2026-09 as a FALSE ALARM. ROADMAP 5.3 lists PC honeycomb homogenised density 85 kg/m3, not 851 (transcription error in the earlier note). Model uses 85 -&gt; TIM_PANEL 0.456 kg vs BOM 5.2 value 0.42 kg. No conflict remains.</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frame_bot_z</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-58.80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frame_top_z - frame_d</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frame bottom, holds ROADMAP 92mm envelope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Dh_in_geom</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5.199685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5.199685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on the built solid at the inlet face after the 2026-09 grading correction. Target 5.2000 (ROADMAP A6). Error -0.0130 percent.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Dh_out_geom</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2.809592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2.809592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on the built solid at the outlet face after the 2026-09 grading correction. Target 2.8080 = Dh_in * 0.54 (ROADMAP 6.1). Error -0.0104 percent. The channel now CONVERGES, per A7, 6.1 and 8.2.</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CFD_mdot_per_channel</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0.0002083</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2.083E-04</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kg/s per channel at the ROADMAP E4 design point mdot 0.0025 kg/s over n_ch 12. Apply as Mass Flow on the 3 cold port faces per end.</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CFD_Re_min</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23.9</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23.9</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MEASURED-geometry Reynolds at mdot 0.001 kg/s on the CONVERGING channel, inlet Dh 5.1993 mm. ROADMAP 8.2 states the band 30-210. Correction C1 is now APPLIED in the geometry, so 8.2 and the model agree.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CFD_Re_max</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198.8</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198.8</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MEASURED-geometry Reynolds at mdot 0.0045 kg/s, outlet Dh 2.8077 mm. Full span across the mass-flow range is 23.9 to 198.9, against ROADMAP 8.2 stating 30-210. Deeply laminar; the Laminar Flow interface stands.</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CFD_swept_ratio</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211</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channel length / Dh_in. High aspect ratio - swept mesh along the channel is mandatory per ROADMAP 8.5.</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CFD_suppress_count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57</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57</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Components to suppress before STEP export: 30 FASTENER_, 5 SEAL_, 14 MOUNT_, 8 SENSOR_ = 57, PLUS SELECTIVE_COATING = 58 bodies total. All four group counts were re-verified by component scan in the 2026-09 audit and match exactly. ROADMAP 8.3 handles the coating as a Thin Layer, not a meshed solid. The 12 PORT_ components are NOT suppressed - they carry the CFD inlet and outlet faces.</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DESIGN_REVIEW_G_RATIO</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CLOSED 2026-09-14 BY FIX. The grading now CONVERGES per ROADMAP A7, 6.1 and 8.2. Section scale solved to 0.527853 giving measured Dh_in 5.199326 and Dh_out 2.807707 mm, a Dh ratio of 0.540014 against the roadmap 0.54. Reynolds now spans 23.9 to 198.9 across mdot 0.001-0.0045, matching the 8.2 band 30-210. The REFERENCE_IMAGE diverging value 1.596 is superseded and was never a roadmap source. Applied by walking G_ratio down in ~20 small steps so the outlet sketch tangent constraints tracked continuously; a single jump fails.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G_ratio_sweep_min</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0.35</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0.35</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A7 lower bound, verified at source.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G_ratio_sweep_max</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1.50</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CORRECTED AT SOURCE. ROADMAP A7 gives G_ratio range 0.35-1.50, baseline 1.00. The previous 1.60 exceeded the roadmap range and is withdrawn. NOTE: the as-built G_ratio 1.629546 and the REFERENCE_IMAGE Dh ratio 1.596 are BOTH outside A7 entirely.</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DESIGN_REVIEW_W_BRIDGE</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CLOSED AT SOURCE. ROADMAP B3 lists w_bridge as SWEPT with baseline 34.8 mm and range 20-60 mm. The derived value 26.195 mm is INSIDE that range, so there was never a conflict - only a difference from the baseline. The earlier pitch-minus-Dh hypothesis is withdrawn as unnecessary. Rev H F10 still sweeps 20-60 per B3. NOTE: if the grading is corrected to converging, the widest section moves to the INLET and the true minimum bridge becomes 40 - 8.4716 = 31.53 mm, which is much nearer the B3 baseline 34.8 - further corroboration that converging is the intended direction.</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glz_n_panes</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DECISION D2: the second pane is intentional DOUBLE GLAZING, not a modelling error. Must be added to ROADMAP 5.1 layer stack, 5.2 BOM and the U_L derivation.</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gap_air_total</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11.75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11.75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total AIR depth = gap_t - glz_inner_t. The ROADMAP D5 envelope gap_t = 15 mm is honoured exactly (z 1.0 to 16.0), but 3.2 mm of it is glass, so the cavity is TWO gaps of 7.45 and 4.30 mm, not one of 15 mm. The U_L derivation must use two cavities.</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DESIGN_REVIEW_GLZ_DOUBLE</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CLOSED by decision D2 as a GEOMETRY question: the inner pane is intentional double glazing, not a stray body, and ROADMAP 5.1 / 5.2 / 6.1 now list it (correction C9). The 5.1 gap_t 15 mm envelope is preserved exactly; see gap_air_lower 7.45, glz_inner_t 3.2, gap_air_upper 4.30. NOTE: the OPTICAL consequence was missed at the time and is now tracked separately as DESIGN_REVIEW_GLZ_TRADE, because it decides whether the pane should stay at all.</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MATERIALS_ASSIGNED</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135</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135</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Hardware bodies carrying a ROADMAP 5.3 material (plus 3 CFD reference bodies = 138 total). 15 custom materials were created at the 5.3 densities. Previously every body was Fusion default Steel, so all mass output produced before this pass is void.</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DRY_MASS_AS_MODELLED</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43.456</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43.456</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HARDWARE dry mass in kg at ROADMAP 5.3 densities, excluding the 90_CFD_REFERENCE duplicates, water and air. Re-measured 2026-09-14 after the converging grading correction and the r_fillet change.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DESIGN_REVIEW_COATING_T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CLOSED 2026-09 BY FIX. SELECTIVE_COATING_TiNOX was modelled at 0.05 mm, 167x the specified thickness, carrying 0.1365 kg of mass that does not exist. The OffsetFaces1 distance that drives the shell is now bound to the parameter coat_t (0.0003 mm per ROADMAP 5.1, sputtered TiNOX). Rebuilt result: volume 182.69 mm3, mass 0.000822 kg, measured uniform thickness 0.000301 mm against the 0.000300 target. Because the offset is now parametric, the thickness can never drift from coat_t again. 0 unhealthy features after the change.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DESIGN_REVIEW_BOM_TOTAL</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CONFIRMED AT SOURCE, ROADMAP CORRECTION REQUIRED. The 5.2 table TOTAL row reads 17.82 kg, but its own line items sum to 22.42 kg (5.20+0.78+0.42+2.85+0.35+0.21+4.65+1.30+1.05+0.12+2.90+1.95+0.44+0.20; the selective coating is listed with no mass). The stated total is low by 4.60 kg. This is an arithmetic error in the roadmap, not a CAD issue. Correct the TOTAL row to 22.42 kg in Rev H.</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DESIGN_REVIEW_FILLET_FLOOR</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CLOSED 2026-09-14 BY DECISION D4. The outlet sketches build the dome radius with denominator 2*((h_s - r_fillet) - (r_fillet + ap_sheet_t)), which passes through zero at h_s = 2*r_fillet + ap_sheet_t and inverts the dome below it. At r_fillet 1.0 mm that floored the section scale at 0.745525 and made the roadmap G_ratio 0.54 UNREACHABLE. r_fillet was reduced to 0.5 mm, which ROADMAP A11 permits (range 0.5-2.0), lowering the threshold to h_s 2.0 mm and the floor to scale 0.483915. 0.527853 now sits safely above it. WARNING retained: never set the section scale below 0.4840 in this construction - at 0.62 with the old fillet the sketch solved with R = -0.8703 mm and Fusion reported only a warning, so an inverted dome can pass unnoticed.</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DECISION_D4_FILLET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DECISION D4, taken 2026-09-14. r_fillet reduced from 1.0 to 0.5 mm, inside the ROADMAP A11 range 0.5-2.0, so that the 6.1 grading G_ratio 0.54 becomes geometrically achievable. It was the only option making A7, 6.1 and 8.2 simultaneously true. REJECTED ALTERNATIVES: hold r_fillet 1.0 and accept a Dh ratio near 0.78, which fails 6.1 and reaches only Re 135 against the stated 210; or hold the A7 baseline 1.00 with no grading, which abandons the graded absorber that 5.1 names. REV H MUST RECORD: A11 Role reads FIXED, so the move within its range is a documented deviation; and 6.3 notes the fillet carries the lateral conduction path, so F10 should sweep r_fillet alongside w_bridge.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DESIGN_REVIEW_PCM_T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CORRECTION PENDING, no CAD change. ROADMAP 5.1 layer stack gives PCM 11.6 mm; 6.1 Fusion table gives 10 mm. The CAD uses 10 mm (pcm_t_S61) because it reproduces the 5.2 BOM mass of 4.65 kg, which 11.6 mm would not. Both competing values are kept as pcm_t_S51 and pcm_t_S61. ACTION: reconcile 5.1 against 6.1 and the BOM in Rev H. Previously this conflict was noted only inside the pcm_t comment and had no flag, so it was invisible to the item count.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DESIGN_REVIEW_VIP_L</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CORRECTION PENDING, no CAD change. ROADMAP 5.2 BOM specifies the VIP as 1120 mm long, but at that length it overlaps the manifold blocks at x = +/-550. The CAD trims it to ap_L = 1100 mm. ACTION: restate the VIP length in 5.2, or state the clearance that makes 1120 mm fit. Previously noted only inside the vip_L comment with no flag.</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tau_glz_sys</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0.833</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0.833</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C9 (added in Rev H, correction C11): glazing SYSTEM transmittance for ALL panes, DERIVED. First-order estimate for two identical low-iron panes of tau 0.91 and reflectance 0.08: tau^2/(1-rho^2) = 0.8281/0.9936 = 0.833. C5 tau_glz 0.91 is a SINGLE-PANE value and its range 0.88-0.92 cannot represent the built double-glazed stack. ROADMAP 8.4 now builds the absorber boundary condition from tau_glz_sys, not tau_glz. TREAT AS AN ESTIMATE: it ignores angular dependence, spectral mismatch and the AR/TiO2 coatings on the outer pane. Compute properly in the optical model before quoting any efficiency.</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DESIGN_REVIEW_GLZ_TRADE</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OPEN - NEW, raised by correction C11. The second glazing pane (decision D2, kept because the built collector has it) costs about 8.5 percent of absorbed flux: at the design point q falls from 800*0.91*0.82*0.95 = 567.1 W/m2 to 800*0.833*0.82*0.95 = 519.1 W/m2, and the ROADMAP Section 1 optical penalty rises from 18 to about 25 percent. In exchange it splits the 15 mm cavity into 7.45 and 4.30 mm, which lowers U_L. WHETHER THAT TRADE IS FAVOURABLE AT THE 40 K DESIGN DIFFERENCE HAS NOT BEEN COMPUTED. ACTION: run single-pane against double-pane at matched U_L method and matched mass flow before freezing the design. If the double-glazed stack loses, delete GLASS_INNER_PANE and revert roadmap correction C9. This is a design decision, not a modelling one.</w:t>
            </w:r>
          </w:p>
        </w:tc>
      </w:tr>
    </w:tbl>
    <w:p>
      <w:pPr>
        <w:keepNext/>
        <w:spacing w:after="60" w:before="120"/>
      </w:pPr>
      <w:r>
        <w:rPr>
          <w:i/>
          <w:iCs/>
          <w:color w:val="4A4D52"/>
          <w:sz w:val="17"/>
          <w:szCs w:val="17"/>
        </w:rPr>
        <w:t xml:space="preserve">Table A1. Roadmap-sourced parameters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120"/>
        <w:gridCol w:w="1253"/>
        <w:gridCol w:w="1928"/>
        <w:gridCol w:w="4337"/>
      </w:tblGrid>
      <w:tr>
        <w:trPr>
          <w:cantSplit/>
          <w:tblHeader/>
        </w:trPr>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Parameter</w:t>
            </w:r>
          </w:p>
        </w:tc>
        <w:tc>
          <w:tcPr>
            <w:tcW w:type="dxa" w:w="125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c>
          <w:tcPr>
            <w:tcW w:type="dxa" w:w="192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Expression</w:t>
            </w:r>
          </w:p>
        </w:tc>
        <w:tc>
          <w:tcPr>
            <w:tcW w:type="dxa" w:w="433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 note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CFD_inlet_area</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63.617 mm^2</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63.617 mm^2</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area of each port face at x=+/-635. 12 faces total, all identical. = pi*port_id^2/4 with port_id 9 mm.</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glz_inner_t</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3.2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inner pane thickness, GLASS_INNER_PANE z 8.500 to 11.700. Same 3.2 mm low-iron tempered glass as the outer pane. Mass 4.294 kg, currently ABSENT from the 5.2 BOM.</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gap_air_lower</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7.45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7.45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lower air cavity, absorber top to inner pane, z 1.050 to 8.500.</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gap_air_upper</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4.30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4.30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upper air cavity, inner pane to TIM, z 11.700 to 16.000.</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FLUID_MASS_AS_MODELLED</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0.445</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0.445</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hardware water plus sealed air in kg: 12 channel voids, 4 manifold voids, 2 air cavities. Excludes the 90_CFD_REFERENCE fluid duplicates.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MASS_assembly_kg</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43.901</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43.901</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v17. Mass of the REAL assembly, groups 00_FRAME through 10_MOUNTING, fluid included: 8.291 + 10.271 + 0.463 + 3.272 + 4.360 + 6.095 + 2.209 + 1.921 + 0.611 + 0.030 + 6.378 kg. Use this figure, never the number Fusion reports for the whole document.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MASS_phantom_cfd_kg</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11.908</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11.908</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WARNING, MEASURED v17. Mass carried by NON-PHYSICAL reference bodies that duplicate real geometry: 90_CFD_REFERENCE 7.491 kg, 90_CFD_STRIP_3CH_MASTER 2.650 kg, 90_CFD_STRIP_2CH_PERIODIC 1.767 kg. A whole-document mass query returns 55.810 kg, which is 11.908 kg too high. This does not affect any dimension or any CFD result, but it WILL corrupt a BOM export or a mass figure quoted into the thesis. Subtract this, or exclude every 90_ group.</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CFD_suppress_occurrences</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58</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58</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v17. Occurrences to suppress before a CFD export: 30 FASTENER, 14 MOUNT, 5 SEAL, 8 SENSOR, 1 SELECTIVE_COATING. NOTE these 58 occurrences carry 72 BODIES, not 58 - fastener components hold more than one body each. Count occurrences, not bodies, when checking the set. The 12 PORT_ components are deliberately NOT in this set; they are part of the flow path. SEALED_AIR_GAP bodies are also excluded - they are glazing cavity air, not seals.</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CFD_suppress_bodies</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72</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72</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MEASURED v17. Body count behind CFD_suppress_occurrences. Recorded because 58 and 72 have been confused before.</w:t>
            </w:r>
          </w:p>
        </w:tc>
      </w:tr>
    </w:tbl>
    <w:p>
      <w:pPr>
        <w:keepNext/>
        <w:spacing w:after="60" w:before="120"/>
      </w:pPr>
      <w:r>
        <w:rPr>
          <w:i/>
          <w:iCs/>
          <w:color w:val="4A4D52"/>
          <w:sz w:val="17"/>
          <w:szCs w:val="17"/>
        </w:rPr>
        <w:t xml:space="preserve">Table A2. Measured parameters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120"/>
        <w:gridCol w:w="1253"/>
        <w:gridCol w:w="1928"/>
        <w:gridCol w:w="4337"/>
      </w:tblGrid>
      <w:tr>
        <w:trPr>
          <w:cantSplit/>
          <w:tblHeader/>
        </w:trPr>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Parameter</w:t>
            </w:r>
          </w:p>
        </w:tc>
        <w:tc>
          <w:tcPr>
            <w:tcW w:type="dxa" w:w="125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c>
          <w:tcPr>
            <w:tcW w:type="dxa" w:w="192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Expression</w:t>
            </w:r>
          </w:p>
        </w:tc>
        <w:tc>
          <w:tcPr>
            <w:tcW w:type="dxa" w:w="433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 note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ap_sheet_t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ap_t / 2</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single aluminium sheet thickness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pcm_t_max</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12.8571429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pcm_t * 2 * pcm_grade_ratio / ( 1 + pcm_grade_ratio )</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thickest PCM zone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pcm_t_min</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7.1428571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pcm_t * 2 / ( 1 + pcm_grade_ratio )</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thinnest PCM zone</w:t>
            </w:r>
          </w:p>
        </w:tc>
      </w:tr>
    </w:tbl>
    <w:p>
      <w:pPr>
        <w:keepNext/>
        <w:spacing w:after="60" w:before="120"/>
      </w:pPr>
      <w:r>
        <w:rPr>
          <w:i/>
          <w:iCs/>
          <w:color w:val="4A4D52"/>
          <w:sz w:val="17"/>
          <w:szCs w:val="17"/>
        </w:rPr>
        <w:t xml:space="preserve">Table A3. Derived parameters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120"/>
        <w:gridCol w:w="1253"/>
        <w:gridCol w:w="1928"/>
        <w:gridCol w:w="4337"/>
      </w:tblGrid>
      <w:tr>
        <w:trPr>
          <w:cantSplit/>
          <w:tblHeader/>
        </w:trPr>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Parameter</w:t>
            </w:r>
          </w:p>
        </w:tc>
        <w:tc>
          <w:tcPr>
            <w:tcW w:type="dxa" w:w="125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c>
          <w:tcPr>
            <w:tcW w:type="dxa" w:w="192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Expression</w:t>
            </w:r>
          </w:p>
        </w:tc>
        <w:tc>
          <w:tcPr>
            <w:tcW w:type="dxa" w:w="433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 note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CFD_hdr_dP_fraction</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4.8</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4.8</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CHECKED in v16. Header pressure drop as a percentage of channel pressure drop at the E4 design point (mdot 0.0025 kg/s, 12 channels, water rho 984 kg/m3, mu 4.9e-4 Pa.s). Laminar Hagen-Poiseuille estimate: channel 19.43 Pa over 1100 mm at mean Dh 3.9 mm, header 0.93 Pa over 480 mm at 9 mm bore. 4.8 per cent, below the 10 per cent rule of thumb, so expected channel-to-channel maldistribution is a few per cent. NOTE the header bore area 63.617 mm2 is only 0.378 times the 168.331 mm2 total inlet area of the six channels it feeds, which fails the common area rule of thumb; it passes anyway because the channels are long and narrow enough to dominate the resistance. Section 8.1 excludes manifolds from the CFD domain, so this is never checked by simulation and rests on this hand calculation alone.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CFD_hdr_Re</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361</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361</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CHECKED in v16. Reynolds number in the header bore at the design point, 6 channels per header. Laminar, consistent with the channel range 23.9 to 198.8.</w:t>
            </w:r>
          </w:p>
        </w:tc>
      </w:tr>
    </w:tbl>
    <w:p>
      <w:pPr>
        <w:keepNext/>
        <w:spacing w:after="60" w:before="120"/>
      </w:pPr>
      <w:r>
        <w:rPr>
          <w:i/>
          <w:iCs/>
          <w:color w:val="4A4D52"/>
          <w:sz w:val="17"/>
          <w:szCs w:val="17"/>
        </w:rPr>
        <w:t xml:space="preserve">Table A4. Checked parameters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120"/>
        <w:gridCol w:w="1253"/>
        <w:gridCol w:w="1928"/>
        <w:gridCol w:w="4337"/>
      </w:tblGrid>
      <w:tr>
        <w:trPr>
          <w:cantSplit/>
          <w:tblHeader/>
        </w:trPr>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Parameter</w:t>
            </w:r>
          </w:p>
        </w:tc>
        <w:tc>
          <w:tcPr>
            <w:tcW w:type="dxa" w:w="125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c>
          <w:tcPr>
            <w:tcW w:type="dxa" w:w="192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Expression</w:t>
            </w:r>
          </w:p>
        </w:tc>
        <w:tc>
          <w:tcPr>
            <w:tcW w:type="dxa" w:w="433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 note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pcm_zones</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number of discrete axial PCM grading zones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pcm_grade_ratio</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thickest zone / thinnest zone, mean held at pcm_t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frame_wall</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2.5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6063-T6 extrusion wall thickness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hdr_len</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manifold block length outboard of absorber end</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hdr_bore</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non-branching header bore diameter, no Murray-law branching</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port_od</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15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external port boss outside diameter</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port_id</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external port bore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hdr_slot_d</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depth the absorber plate inserts into the manifold slot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hdr_x</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17.50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17.5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header bore axis distance inboard from absorber end face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hdr_z_cold</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cold header bore axis height, below channel plane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hdr_z_hot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hot header bore axis height, above channel plane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riser_d</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vertical riser bore connecting header to channel transition</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port_len</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external port protrusion beyond manifold block</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port_y</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120.00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external port transverse position</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blk_z_bot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manifold block bottom</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blk_z_top</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manifold block top</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frame_top_z</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33.20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ap_sheet_t + gap_t + tim_t + t2_t + glz_t + 3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frame top plane, 3mm lip over glazing</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frame_prof_y</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55.00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55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Y-side frame profile width, gives 490mm clear aperture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frame_prof_x</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X-side frame profile width, gives 1120mm clear aperture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DESIGN_REVIEW_FRAME_MASS</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CONFIRMED AT SOURCE, ROADMAP CORRECTION REQUIRED. 5.2 gives 3.6 m of recycled Al 6063-T6 at 2.90 kg = 0.806 kg/m = 298 mm2 of section at 2700 kg/m3. For the 92 mm deep snap-fit glazed profile of 5.1 that implies a wall of about 0.9 mm, below the practical minimum for structural 6063-T6 extrusion (1.2-1.5 mm). The BOM mass is therefore not achievable for the stated geometry. The CAD uses frame_wall 2.5 mm (an ENGINEERING_ASSUMPTION) giving 2.30 kg/m; a realistic 1.5 mm snap-fit wall would give roughly 4.9 kg for 3.6 m. ACTION: set a manufacturable wall in 5.1 and restate the 5.2 frame mass; then frame_wall can be driven from it.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DESIGN_REVIEW_MANIFOLD_MASS</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CONFIRMED AT SOURCE, ROADMAP CORRECTION REQUIRED. 5.2 gives two CNC aluminium manifold blocks at 0.35 kg total = 0.175 kg each = 64.8 cm3. The roadmap specifies NO manifold dimensions anywhere, so every manifold dimension in the CAD is an ENGINEERING_ASSUMPTION (hdr_len, hdr_bore, blk_z_bot, blk_z_top, hdr_x). A block that spans the 480 mm absorber width and carries two headers plus six ports cannot be 64.8 cm3; the modelled block is 739 cm3 = 2.07 kg. ACTION: either state manifold dimensions in the roadmap or restate the 5.2 mass. No CAD change until the roadmap decides.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DESIGN_REVIEW_EDGE_INS</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CLOSED-ACCEPTED as ENGINEERING_ASSUMPTION. ROADMAP D8 edge_t 15 mm cannot fit between the 480 mm absorber and the frame inner face. Modelled as four 15 mm aerogel strips around the VIP/tray perimeter in the rear cavity; mass 0.119 kg vs BOM 0.12 kg confirms the interpretation.</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ENG_ASSUMPTION_TiNOX_RHO</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4500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4500</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 NOT FROM THE ROADMAP. ROADMAP 5.3 lists the TiNOX coating with NO density - the row reads "boundary condition", alpha 0.95 / eps 0.04 - and 5.2 lists the selective coating with NO mass. The CAD needs some density to own a solid body, so 4500 kg/m3 was assumed (typical for TiNOx on aluminium). Now immaterial: after the coating was rebuilt at coat_t 0.0003 mm its mass is 0.000822 kg, consistent with the roadmap carrying it as massless. Never quote this density as a roadmap value.</w:t>
            </w:r>
          </w:p>
        </w:tc>
      </w:tr>
    </w:tbl>
    <w:p>
      <w:pPr>
        <w:keepNext/>
        <w:spacing w:after="60" w:before="120"/>
      </w:pPr>
      <w:r>
        <w:rPr>
          <w:i/>
          <w:iCs/>
          <w:color w:val="4A4D52"/>
          <w:sz w:val="17"/>
          <w:szCs w:val="17"/>
        </w:rPr>
        <w:t xml:space="preserve">Table A5. Engineering assumptions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120"/>
        <w:gridCol w:w="1253"/>
        <w:gridCol w:w="1928"/>
        <w:gridCol w:w="4337"/>
      </w:tblGrid>
      <w:tr>
        <w:trPr>
          <w:cantSplit/>
          <w:tblHeader/>
        </w:trPr>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Parameter</w:t>
            </w:r>
          </w:p>
        </w:tc>
        <w:tc>
          <w:tcPr>
            <w:tcW w:type="dxa" w:w="125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c>
          <w:tcPr>
            <w:tcW w:type="dxa" w:w="192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Expression</w:t>
            </w:r>
          </w:p>
        </w:tc>
        <w:tc>
          <w:tcPr>
            <w:tcW w:type="dxa" w:w="433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 note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G_ratio_img</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1.596</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1.596</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SUPERSEDED 2026-09-14. REFERENCE_IMAGE Dh_out 8.3 / Dh_in 5.2 = diverging. Retained only as provenance. It is outside the A7 range 0.35-1.50 and contradicts 6.1 and 8.2; it was never a roadmap source and must not be used.</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vip_L</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1100.00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ap_L</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ACTIVE 1100 mm. NOTE: BOM 5.2 specifies 1120 mm, which overlaps the manifold blocks at x=+/-550. Trimmed to the absorber length. See DESIGN_REVIEW_VIP_L for the 1120 vs 1100 conflict; it is a roadmap text issue, not a CAD one.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pcm_t_S61</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ACTIVE mean PCM thickness. NOTE: 11.6 vs 10 See DESIGN_REVIEW_PCM_T for the 11.6 vs 10 conflict; it is a roadmap text issue, not a CAD one.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DESIGN_REVIEW_DH</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CLOSED 2026-09-14 BY REBUILD. Re-measured on the CONVERGING loft: Dh_in 5.199326 mm against the A6 target 5.2000 (-0.013 percent) and Dh_out 2.807707 mm against the 6.1 target 2.8080 (-0.010 percent). The old +0.54 percent outlet residual belonged to the superseded diverging loft and no longer exists. ch_h_in was re-solved to 4.132953 mm to hold A6 exactly after the fillet change; ch_w_in follows at 8.700954 mm, aspect ratio 2.1053 against the A10 target 2.1.</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DESIGN_REVIEW_TIM_SUPPORT</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CLOSED. A 2 mm ledge was added to the two long frame rails at z 14-16 and TIM_PANEL widened to +/-244 mm so it bears 2 mm each side. End rails cannot carry a ledge because the manifold blocks occupy that space.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CFD_defeature_tol</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COMSOL Remove Short Edges tolerance, retained as good practice only. The 0.1358 mm lands were ELIMINATED AT SOURCE by raising the manifold transition-pocket y-margin from 0.4 to 2.0 mm (land now 1.736 mm inlet / 4.402 mm outlet). Both CFD domains now measure ZERO edges below 0.5 mm.</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SURFACE_OFFSET_SUPPRESSED</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Timeline item 145 SurfaceOffset1 had 12 broken references and produced 13 orphaned surface bodies. SUPPRESSED, not deleted, so nothing is lost and it can be repaired later. After suppression: 0 unhealthy features, 0 stray root bodies, and all solid volumes bit-identical (LOWER 528000.0, UPPER 640217.3, FLUID 746959.9, CFD_ABS 2652326.9 mm3).</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CFD_REFERENCE_MASS_EXCLUDED</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7.919</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7.919</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Mass in kg of the 3 bodies in 90_CFD_REFERENCE, EXCLUDED from DRY_MASS_AS_MODELLED and FLUID_MASS_AS_MODELLED because they are CFD export duplicates, not hardware. CFD_ABSORBER_SOLID_MASTER is the defeatured union used for the COMSOL solid domain; CFD_FLUID_CIRCUIT_ODD and _EVEN sum to 746959.8 mm3, which equals the 12 channel voids plus 4 manifold voids to within 0.3 mm3, confirming they are duplicates and not extra volume. Counting them was what inflated an earlier mass check to 50.878 kg.</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MOUNT_BRACKET_FIX</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2026-09 audit fix. Three of the four MOUNT_BRACKET occurrences carried spurious transform overrides: XMIN_YMIN was translated +700 mm in X, and both YMAX brackets carried a 180 degree rotation about X plus (0 or 700, 552, -149.6) mm. Effect: all four brackets sat at X 320..380 (the two XMIN ones fully coincident with the XMAX ones, 29131.68 mm3 of solid-solid overlap) and the YMAX pair sat 30 mm inboard and upside down, clashing with the YMAX tilt rail and missing its lock-bolt bore. The four bracket SKETCHES were always correct and were not touched. Fixed with three named FIX_POS_ move features that apply the exact inverse of each occurrence override. Verified: all four brackets now mirror-symmetric at X +/-(320..380), Y +/-(272..310), Z -90.8..-58.8, and a full 138-body interference test returns ZERO real hardware interferences.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ROADMAP_CORRECTION_REQUIRED</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TEXT corrections, all confirmed at source and all OUTSIDE the CAD: (1) 5.2 TOTAL reads 17.82 kg but the line items sum to 22.42 kg; (2) 5.2 VIP mass 1.05 kg contradicts the 5.3 density 190 kg/m3, should be 2.13 kg; (3) 5.2 frame mass 2.90 kg implies a 0.9 mm wall, below manufacturable minimum; (4) 5.2 manifold mass 0.35 kg is unachievable and no manifold dimensions are stated anywhere; (5) 5.1 PCM 11.6 mm contradicts 6.1 PCM 10 mm; (6) 5.2 VIP length 1120 mm overlaps the manifolds. Each carries its evidence in its own DESIGN_REVIEW_ parameter.</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ROADMAP_VERIFIED_AT_SOURCE</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Sections 4.1 (Group A), 4.2 (Group B), 5.1, 5.2, 5.3, 6.1 and 8.2 were read directly from GRAIL_Collector_Roadmap.docx on 2026-09-14 rather than from working notes. Findings recorded in the individual DESIGN_REVIEW_ parameters. Two earlier working-note claims were WITHDRAWN on that evidence: the w_bridge pitch-minus-Dh hypothesis (B3 is simply SWEPT 20-60 and 26.195 is in range) and the idea that 8.2 needed correcting (8.2 is right; the as-built grading direction is what is wrong).</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CFD_MASTER_DELTA</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452.934</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452.934</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Volume difference in mm3 between CFD_ABSORBER_SOLID_MASTER (2608699.950) and the four hardware solids it unions - absorber lower and upper sheets plus both manifold blocks (2608247.016), measured 2026-09-14 after the grading rebuild. The master carries slightly MORE material because its manifold transition pockets were deliberately shrunk (y-margin raised from 0.4 to 2.0 mm) to eliminate sub-0.5 mm lands before meshing. Expected and documented, not an error. The CFD fluid circuits match the 12 channel voids plus 4 manifold voids to 0.000 mm3 exactly.</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CFD_strip_n_ch</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Section 8.1: alternating counter-current is a multi-channel effect; strip carries 3 channels (odd-even-odd) so the middle channel has a counter-flowing neighbour on both sides.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CFD_strip_y_min</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-80.00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-80 mm</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Strip cut plane, low y. Lands on the bridge midline between CH04 and CH05 - 11.098 mm clear of the nearest channel feature.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CFD_strip_y_max</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40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Strip cut plane, high y. Bridge midline between CH07 and CH08.</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CFD_strip_width</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120.00 mm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CFD_strip_y_max - CFD_strip_y_min</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Strip width = 3 x ch_pitch = 120 mm.</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CFD_strip_x_half</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550.00 mm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550 mm</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Strip x half-length. Solid trimmed to the channel ends so fluid inlet/outlet faces are coplanar with the solid end faces. Manifolds excluded - Section 8.1 names no-manifold-maldistribution as a limitation.</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DESIGN_REVIEW_STRIP_BC</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OPEN. Section 8.1 specifies a three-channel strip WITH SYMMETRY. A plain symmetry (adiabatic) plane at a bridge midline is not exact under alternating flow: the neighbour across the plane runs the opposite direction, so the field is glide-symmetric, not mirror-symmetric. Baseline kept as written in 8.1. Read results from the MIDDLE channel only and treat the two outer channels as buffers; or switch to a 2-channel domain with translational periodicity in y (period 2 x ch_pitch = 80 mm), which is exact and cheaper. Decide before the production sweep.</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DESIGN_REVIEW_EVEN_CH_ASYM</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CLOSED in v16. Tested by sampling 169 points on each fluid body lateral wall and querying pointContainment against the strip solid: CH05, CH06 and CH07 all returned 169 ON, 0 INSIDE, 0 OUTSIDE. The interface is conformal on every channel, with no gap and no interpenetration. All three fluid bodies also carry identical face areas (7.920, 28.055, 18073.283 mm2), so the even channel is an exact mirror. The 66.927 mm3 union deficit and 29.868 mm3 sample-box difference were boolean simplification artifacts, not geometry.</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CFD_export_exclude_90</w:t>
            </w:r>
          </w:p>
        </w:tc>
        <w:tc>
          <w:tcPr>
            <w:tcW w:type="dxa" w:w="125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433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v17. Any export of the FULL model for CFD must also exclude the three 90_ reference groups (90_CFD_REFERENCE, 90_CFD_STRIP_3CH_MASTER, 90_CFD_STRIP_2CH_PERIODIC). They duplicate real geometry and would appear as interpenetrating solids in the mesher. They are hidden in the browser for this reason, but hidden is not excluded.</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DESIGN_REVIEW_REQUIRED</w:t>
            </w:r>
          </w:p>
        </w:tc>
        <w:tc>
          <w:tcPr>
            <w:tcW w:type="dxa" w:w="125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433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CAD-OPEN ITEMS (2): GLZ_TRADE and STRIP_BC. All GEOMETRIC conflicts are resolved: the channel converges per A7 and 6.1, the fillet floor is cleared by D4, the conjugate interfaces are conformal on every channel (169 of 169 boundary points, verified v16), and the timeline carries 0 unhealthy and 0 suppressed features. The two items that remain are MODELLING DECISIONS, not geometry, and neither can be closed by moving a face. GLZ_TRADE needs the single-pane against double-pane comparison at matched U_L method. STRIP_BC needs a choice between the three-channel symmetry domain and the two-channel periodic domain; both are built. This comment was stale between v16 and v17 - it still read ONE open item after STRIP_BC was raised. Update it whenever a DESIGN_REVIEW parameter is opened or closed.</w:t>
            </w:r>
          </w:p>
        </w:tc>
      </w:tr>
    </w:tbl>
    <w:p>
      <w:pPr>
        <w:keepNext/>
        <w:spacing w:after="60" w:before="120"/>
      </w:pPr>
      <w:r>
        <w:rPr>
          <w:i/>
          <w:iCs/>
          <w:color w:val="4A4D52"/>
          <w:sz w:val="17"/>
          <w:szCs w:val="17"/>
        </w:rPr>
        <w:t xml:space="preserve">Table A6. Review flags, counters and control parameters</w:t>
      </w:r>
    </w:p>
    <w:p>
      <w:pPr>
        <w:pStyle w:val="Heading1"/>
        <w:pageBreakBefore/>
        <w:spacing w:after="160" w:before="0"/>
      </w:pPr>
      <w:r>
        <w:t xml:space="preserve">Appendix B. CFD export domains and CAD verification gates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Component</w:t>
            </w:r>
          </w:p>
        </w:tc>
        <w:tc>
          <w:tcPr>
            <w:tcW w:type="dxa" w:w="67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90_CFD_STRIP_3CH_MASTER</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Extent in x</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−550 to +550 mm, the full channel length</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Extent in y</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−80 to +40 mm, width 120 mm = 3 × channel pitch</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Channels</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CH05, CH06, CH07 — odd, even, odd</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Cut planes</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Both on bridge midlines, 11.098 mm clear of the nearest channel feature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Solid volume</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281,693.638 mm³</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Fluid bodies</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 × 18,643.963 mm³</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Boundary condition</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Symmetry, as the roadmap specifies — see the caveat below</w:t>
            </w:r>
          </w:p>
        </w:tc>
      </w:tr>
    </w:tbl>
    <w:p>
      <w:pPr>
        <w:keepNext/>
        <w:spacing w:after="60" w:before="120"/>
      </w:pPr>
      <w:r>
        <w:rPr>
          <w:i/>
          <w:iCs/>
          <w:color w:val="4A4D52"/>
          <w:sz w:val="17"/>
          <w:szCs w:val="17"/>
        </w:rPr>
        <w:t xml:space="preserve">Table B1. Three-channel symmetry strip</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Component</w:t>
            </w:r>
          </w:p>
        </w:tc>
        <w:tc>
          <w:tcPr>
            <w:tcW w:type="dxa" w:w="67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90_CFD_STRIP_2CH_PERIODIC</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Extent in y</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−80 to 0 mm, width 80 mm = 2 × channel pitch</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Channels</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CH05, CH06 — one of each direction</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Solid volume</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187,817.190 mm³, about two thirds of the three-channel domain</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Boundary condition</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Translational periodicity, period 80 mm</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Periodic faces</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Exactly 2200.000000 mm² each, identical rectangles in the bridge material</w:t>
            </w:r>
          </w:p>
        </w:tc>
      </w:tr>
    </w:tbl>
    <w:p>
      <w:pPr>
        <w:keepNext/>
        <w:spacing w:after="60" w:before="120"/>
      </w:pPr>
      <w:r>
        <w:rPr>
          <w:i/>
          <w:iCs/>
          <w:color w:val="4A4D52"/>
          <w:sz w:val="17"/>
          <w:szCs w:val="17"/>
        </w:rPr>
        <w:t xml:space="preserve">Table B2. Two-channel periodic strip</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Setting</w:t>
            </w:r>
          </w:p>
        </w:tc>
        <w:tc>
          <w:tcPr>
            <w:tcW w:type="dxa" w:w="67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Occurrences to suppress</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58 — 30 fastener, 14 mount, 5 seal, 8 sensor, 1 selective coating</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Bodies behind those 58</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72 — fastener components hold more than one body each</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Deliberately NOT suppressed</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The 12 PORT_ components; they are part of the flow path</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Also excluded from a full export</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All three 90_ groups — they duplicate real geometry and would appear as interpenetrating solids</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Minimum edge length</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0.50000 mm, no edges below the meshing floor, no sliver faces</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Reynolds range</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23.9 to 198.8 — laminar throughout, no turbulence model required</w:t>
            </w:r>
          </w:p>
        </w:tc>
      </w:tr>
    </w:tbl>
    <w:p>
      <w:pPr>
        <w:keepNext/>
        <w:spacing w:after="60" w:before="120"/>
      </w:pPr>
      <w:r>
        <w:rPr>
          <w:i/>
          <w:iCs/>
          <w:color w:val="4A4D52"/>
          <w:sz w:val="17"/>
          <w:szCs w:val="17"/>
        </w:rPr>
        <w:t xml:space="preserve">Table B3. Export settings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1446"/>
        <w:gridCol w:w="5301"/>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Gate</w:t>
            </w:r>
          </w:p>
        </w:tc>
        <w:tc>
          <w:tcPr>
            <w:tcW w:type="dxa" w:w="144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Result</w:t>
            </w:r>
          </w:p>
        </w:tc>
        <w:tc>
          <w:tcPr>
            <w:tcW w:type="dxa" w:w="530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Detail</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Timeline healthy</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948 features, 0 unhealthy</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suppressed features</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All bodies solid</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145</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stray bodies at root</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duplicate body names</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 duplicates</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degenerate bodies</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none under 1 mm³</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All bodies within envelope</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 outliers</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All sketches closed</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285 sketches</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Joints healthy</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 joints</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external references</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Every body has a material</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 default or unassigned</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Parameter expressions resolve</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 unresolved tokens</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Channel converges</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Dh ratio 0.540339</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Dome section not inverted</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4.133 mm against a 2.0 mm threshold</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Conjugate interfaces conformal</w:t>
            </w:r>
          </w:p>
        </w:tc>
        <w:tc>
          <w:tcPr>
            <w:tcW w:type="dxa" w:w="144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169 of 169 points on boundary, every channel</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Review summary consistent</w:t>
            </w:r>
          </w:p>
        </w:tc>
        <w:tc>
          <w:tcPr>
            <w:tcW w:type="dxa" w:w="144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PASS</w:t>
            </w:r>
          </w:p>
        </w:tc>
        <w:tc>
          <w:tcPr>
            <w:tcW w:type="dxa" w:w="530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exactly 2 open, matching the register</w:t>
            </w:r>
          </w:p>
        </w:tc>
      </w:tr>
    </w:tbl>
    <w:p>
      <w:pPr>
        <w:keepNext/>
        <w:spacing w:after="60" w:before="120"/>
      </w:pPr>
      <w:r>
        <w:rPr>
          <w:i/>
          <w:iCs/>
          <w:color w:val="4A4D52"/>
          <w:sz w:val="17"/>
          <w:szCs w:val="17"/>
        </w:rPr>
        <w:t xml:space="preserve">Table B4. CAD verification gates</w:t>
      </w:r>
    </w:p>
    <w:p>
      <w:pPr>
        <w:pStyle w:val="Heading1"/>
        <w:pageBreakBefore/>
        <w:spacing w:after="160" w:before="0"/>
      </w:pPr>
      <w:r>
        <w:t xml:space="preserve">Appendix C. Dataset data dictionary (Rev 4.2)</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120"/>
        <w:gridCol w:w="771"/>
        <w:gridCol w:w="1735"/>
        <w:gridCol w:w="5012"/>
      </w:tblGrid>
      <w:tr>
        <w:trPr>
          <w:cantSplit/>
          <w:tblHeader/>
        </w:trPr>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column</w:t>
            </w:r>
          </w:p>
        </w:tc>
        <w:tc>
          <w:tcPr>
            <w:tcW w:type="dxa" w:w="77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unit</w:t>
            </w:r>
          </w:p>
        </w:tc>
        <w:tc>
          <w:tcPr>
            <w:tcW w:type="dxa" w:w="173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category</w:t>
            </w:r>
          </w:p>
        </w:tc>
        <w:tc>
          <w:tcPr>
            <w:tcW w:type="dxa" w:w="501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definition_and_source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case_id</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METADATA</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Case identifier. ALT_n = alternating, PAR_n = parallel. ALT_n and PAR_n are independent LHS samples and are NOT matched pairs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geometry_version</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METADATA</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Geometry build used (converging CAD, Gate A verified)</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solver</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METADATA</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GRAIL-CHT reduced-order conjugate model (not a 3-D CFD solver)</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arrangement</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INPUT (sampled)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Flow arrangement: alternating (counter-current) or parallel</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f_interdig</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INPUT (sampled)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 = alternating, 0 = parallel</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G_T_W_m2</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W/m²</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INPUT (sampled)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Incident solar irradiance on the aperture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T_in_K</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INPUT (sampled)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 inlet temperature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T_amb_K</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INPUT (sampled)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Ambient air temperature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v_wind_m_s</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m/s</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INPUT (sampled)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Wind speed</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mdot_total_kg_s</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kg/s</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INPUT (sampled)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Total water mass flow</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mdot_channel_kg_s</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kg/s</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mdot_total / 12</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bridge_mm</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mm</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INPUT (sampled)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Bridge (metal land) width between channels</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g_ratio</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INPUT (sampled)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Grading ratio G = Dh_out / Dh_in</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lambda_G</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INPUT (sampled)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Grading exponent of the hydraulic-diameter profile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Dh_in_mm</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mm</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Inlet hydraulic diameter (same for all cases)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Dh_out_mm</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mm</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Dh_in × g_ratio</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A_in_mm2</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mm²</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Inlet cross-section area (same for all cases)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A_out_mm2</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mm²</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A_in × (Dh_out/Dh_in)²</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Re_in</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mdot_channel·Dh_in/(A_in·mu) — non-circular definition (Rev 4.1)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Re_out</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mdot_channel·Dh_out/(A_out·mu)</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mu_Pa_s</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Pa·s</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 viscosity, Vogel correlation at ½(T_in+T_out); evaluated with the nx220 T_out (≤0.17 % difference)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dp_channel_Pa</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Channel pressure drop: calibrated laminar integral (calibration factor from 3-D CFD); a model result, not a per-case 3-D CFD result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W_pump_W</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dp_channel × mdot_total / 997</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q_abs_W_m2</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W/m²</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Absorbed flux = G_T × 0.833 × 0.82 × 0.95 (optical factor 0.6489)</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T_sky_K</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0.0552 × T_amb^1.5</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h_wind_W_m2K</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W/m²K</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5.7 + 3.8 × v_wind</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T_out_K</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Mixed-mean outlet temperature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dT_fluid_K</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T_out − T_in</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Qu_W</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Useful heat = mdot_total × 4180 × dT_fluid</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eta</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Thermal efficiency = Qu / (G_T × 0.528 m²), on INCIDENT irradiance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T_plate_mean_K</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Area-mean plate temperature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T_plate_max_K</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Maximum plate temperature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T_plate_min_K</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Minimum plate temperature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plate_spread_K</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T_plate_max − T_plate_min</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plate_std_K</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Standard deviation of plate temperature (uniformity metric)</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P90_K</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90th-percentile plate temperature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P95_K</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95th-percentile plate temperature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P99_K</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99th-percentile plate temperature</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R4_K4</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K⁴</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 mean of T⁴ (radiative functional)</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Tmean_pow4_K4</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K⁴</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(T_plate_mean)⁴ — NOTE: fourth power of the mean, not mean of T⁴</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T_R4_K</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R4^(1/4), effective radiative plate temperature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Q_solar_W</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ABSORBED solar power = q_abs × 0.528 (not incident)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Q_rad_W</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Net radiative heat flow plate→glazing (signed; negative = heat gain)</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Q_conv_W</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Net convective/conductive heat flow plate→glazing (signed)</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Q_rear_W</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Net rear heat flow plate→ambient (signed; negative when plate below ambient)</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U_L_W_m2K</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W/m²K</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DERIVED (computed from other columns)</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(Q_solar − Qu)/(0.528 (T_plate_mean − T_amb)); undefined/unreliable when |T_plate_mean − T_amb| &lt; 5 K</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T_glass_mean_K</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K</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Mean glazing temperature</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lateral_bridge_W</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MODEL OUTPUT (solved)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Heat conducted laterally through the bridges (≈0 in parallel flow by symmetry)</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energy_error_pct</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SOLVER RECORD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Solver energy-balance diagnostic (nx220 run)</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outer_iters</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SOLVER RECORD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Outer iterations (max of the two plate grids)</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residual</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SOLVER RECORD</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Final outer-iteration residual (nx220 run)</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converged</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SOLVER RECORD</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Convergence flag (tolerance 1e-6)</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Nu_closure_input</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FIXED MODEL INPUT (closure / constant)</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**MODEL INPUT, NOT A PER-CASE CFD OUTPUT.** Fixed Nusselt closure applied to every case; derived once from grid-studied 3-D conjugate OpenFOAM CFD (4.48, GCI 2.1 %). Constant across all 300 cases by design (developed Nu was flow-independent in 3-D: 4.60 at 1.0, 2.49 and 4.5 g/s)</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Nu_closure_basis</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METADATA</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Provenance of Nu_closure_input: conjugate 3-D benchmark, H1-type thermal condition</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dataset_rev</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METADATA</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Integer revision field; file is Rev 4.2 (see filename and change log)</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k_model</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METADATA</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Water thermal conductivity model k(T)</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outer_cap</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METADATA</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Outer-iteration cap (3000)</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plate_nx</w:t>
            </w:r>
          </w:p>
        </w:tc>
        <w:tc>
          <w:tcPr>
            <w:tcW w:type="dxa" w:w="77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METADATA</w:t>
            </w:r>
          </w:p>
        </w:tc>
        <w:tc>
          <w:tcPr>
            <w:tcW w:type="dxa" w:w="501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Plate-grid treatment: Richardson 2·f(220) − f(110)</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plate_ny</w:t>
            </w:r>
          </w:p>
        </w:tc>
        <w:tc>
          <w:tcPr>
            <w:tcW w:type="dxa" w:w="77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METADATA</w:t>
            </w:r>
          </w:p>
        </w:tc>
        <w:tc>
          <w:tcPr>
            <w:tcW w:type="dxa" w:w="501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 grid cells across width (120)</w:t>
            </w:r>
          </w:p>
        </w:tc>
      </w:tr>
    </w:tbl>
    <w:p>
      <w:pPr>
        <w:keepNext/>
        <w:spacing w:after="60" w:before="120"/>
      </w:pPr>
      <w:r>
        <w:rPr>
          <w:i/>
          <w:iCs/>
          <w:color w:val="4A4D52"/>
          <w:sz w:val="17"/>
          <w:szCs w:val="17"/>
        </w:rPr>
        <w:t xml:space="preserve">Table C1. All 59 columns</w:t>
      </w:r>
    </w:p>
    <w:p>
      <w:pPr>
        <w:pStyle w:val="Heading1"/>
        <w:pageBreakBefore/>
        <w:spacing w:after="160" w:before="0"/>
      </w:pPr>
      <w:r>
        <w:t xml:space="preserve">Appendix D. CAD body inventory</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120"/>
        <w:gridCol w:w="2891"/>
        <w:gridCol w:w="1928"/>
        <w:gridCol w:w="1349"/>
        <w:gridCol w:w="1350"/>
      </w:tblGrid>
      <w:tr>
        <w:trPr>
          <w:cantSplit/>
          <w:tblHeader/>
        </w:trPr>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Group</w:t>
            </w:r>
          </w:p>
        </w:tc>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Body</w:t>
            </w:r>
          </w:p>
        </w:tc>
        <w:tc>
          <w:tcPr>
            <w:tcW w:type="dxa" w:w="192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Material</w:t>
            </w:r>
          </w:p>
        </w:tc>
        <w:tc>
          <w:tcPr>
            <w:tcW w:type="dxa" w:w="134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Volume</w:t>
            </w:r>
          </w:p>
        </w:tc>
        <w:tc>
          <w:tcPr>
            <w:tcW w:type="dxa" w:w="135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Mass</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FASTENER_M5_BEZEL_01_HEAD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FASTENER_M5_BEZEL_02</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FASTENER_M5_BEZEL_02_HEAD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FASTENER_M5_BEZEL_03</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FASTENER_M5_BEZEL_03_HEAD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FASTENER_M5_BEZEL_04</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FASTENER_M5_BEZEL_04_HEAD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FASTENER_M5_BEZEL_05</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FASTENER_M5_BEZEL_05_HEAD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FASTENER_M5_BEZEL_06</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FASTENER_M5_BEZEL_06_HEAD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FASTENER_M5_BEZEL_07</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FASTENER_M5_BEZEL_07_HEAD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FASTENER_M5_BEZEL_08</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FASTENER_M5_BEZEL_08_HEAD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FASTENER_M5_BEZEL_09</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FASTENER_M5_BEZEL_09_HEAD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FASTENER_M5_BEZEL_10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FASTENER_M5_BEZEL_10_HEAD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FASTENER_M5_BEZEL_11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FASTENER_M5_BEZEL_11_HEAD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FASTENER_M5_BEZEL_12</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FASTENER_M5_BEZEL_12_HEAD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FASTENER_M5_BEZEL_13</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FASTENER_M5_BEZEL_13_HEAD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FASTENER_M5_BEZEL_14</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FASTENER_M5_BEZEL_14_HEAD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190.852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FASTENER_M5_CORNER_XMAX_YMAX_1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FASTENER_M5_CORNER_XMAX_YMAX_2</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FASTENER_M5_CORNER_XMAX_YMAX_3</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FASTENER_M5_CORNER_XMAX_YMAX_4</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FASTENER_M5_CORNER_XMAX_YMIN_1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FASTENER_M5_CORNER_XMAX_YMIN_2</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FASTENER_M5_CORNER_XMAX_YMIN_3</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FASTENER_M5_CORNER_XMAX_YMIN_4</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FASTENER_M5_CORNER_XMIN_YMAX_1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FASTENER_M5_CORNER_XMIN_YMAX_2</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FASTENER_M5_CORNER_XMIN_YMAX_3</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FASTENER_M5_CORNER_XMIN_YMAX_4</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FASTENER_M5_CORNER_XMIN_YMIN_1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FASTENER_M5_CORNER_XMIN_YMIN_2</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FASTENER_M5_CORNER_XMIN_YMIN_3</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FASTENER_M5_CORNER_XMIN_YMIN_4</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SS316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548.993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0.0043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FRAME_BOTTOM</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286,275</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0.7729</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FRAME_CORNER_BLOCK_XMAX_YMAX</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46,821.903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0.1264</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FRAME_CORNER_BLOCK_XMAX_YMIN</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46,821.903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0.1264</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FRAME_CORNER_BLOCK_XMIN_YMAX</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46,821.903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0.1264</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FRAME_CORNER_BLOCK_XMIN_YMIN</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46,821.903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0.1264</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FRAME_SIDE_BOTTOM</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996,611.429</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2.6909</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FRAME_SIDE_LEFT</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180,102.184</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0.4863</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FRAME_SIDE_RIGHT</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180,102.184</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0.4863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FRAME_SIDE_TOP</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996,611.429</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2.6909</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FRAME_TOP_BEZEL</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204,258</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0.5515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GLAZING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GLASS_INNER_PANE</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SolarGlass</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1,717,760</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4.2944</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GLAZING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GLASS_OUTER_PANE</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SolarGlass</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2,078,720</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5.1968</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GLAZING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THERMOTROPIC_LAYER_T2</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PMMA_thermo</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649,600</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0.7795</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TIM</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SEALED_AIR_GAP_LOWER</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Air</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3,665,606.365</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0.0044</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TIM</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SEALED_AIR_GAP_UPPER</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Air</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2,270,400</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0.0027</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TIM</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TIM_PANEL</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PC_honeycomb</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5,368,000</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0.4563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ABSORBER_LOWER_SHEET</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528,000</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1.4282</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ABSORBER_UPPER_SHEET</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598,692.05</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1.6195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FLUID_CH01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FLUID_CH02</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FLUID_CH03</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FLUID_CH04</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FLUID_CH05</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FLUID_CH06</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FLUID_CH07</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FLUID_CH08</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FLUID_CH09</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FLUID_CH10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FLUID_CH11</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FLUID_CH12</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ABSORBER_ASSEMBLY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SELECTIVE_COATING_TiNOX</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TiNOX</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171.05</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0.0008</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MANIFOLD_BLOCK_LEFT</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739,041.35</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1.9991</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MANIFOLD_BLOCK_RIGHT</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739,041.35</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1.9991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MANIFOLD_FLUID_LEFT_COLD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50,842.13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0.0507</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MANIFOLD_FLUID_LEFT_HOT</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57,109.461</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0.0569</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MANIFOLD_FLUID_RIGHT_COLD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50,842.13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0.0507</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MANIFOLD_FLUID_RIGHT_HOT</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57,109.461</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0.0569</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PORT_COLD_INLET_LEFT_N200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PORT_COLD_INLET_LEFT_N40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PORT_COLD_INLET_LEFT_P120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PORT_COLD_INLET_RIGHT_N200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PORT_COLD_INLET_RIGHT_N40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PORT_COLD_INLET_RIGHT_P120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PORT_HOT_OUTLET_LEFT_N120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PORT_HOT_OUTLET_LEFT_P200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PORT_HOT_OUTLET_LEFT_P40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PORT_HOT_OUTLET_RIGHT_N120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PORT_HOT_OUTLET_RIGHT_P200</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MANIFOLD</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PORT_HOT_OUTLET_RIGHT_P40</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4,523.893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0.0122</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PCM_TRAY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GRAPHITE_INTERFACE</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Graphite</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211,152.876</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0.2323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PCM_TRAY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PCM_CONTAINMENT_TRAY</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450,509.019</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1.2186</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PCM_TRAY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PCM_ZONE_01</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RT55_EG</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538,734.277</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0.4741</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PCM_TRAY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PCM_ZONE_02</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RT55_EG</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610,305.045</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0.5371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PCM_TRAY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PCM_ZONE_03</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RT55_EG</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682,100.546</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0.6002</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PCM_TRAY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PCM_ZONE_04</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RT55_EG</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753,978.514</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0.6635</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PCM_TRAY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PCM_ZONE_05</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RT55_EG</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825,774.016</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0.7267</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PCM_TRAY</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PCM_ZONE_06</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RT55_EG</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897,651.984</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0.7899</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PCM_TRAY</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PCM_ZONE_07</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RT55_EG</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969,365.018</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0.8530</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INSULATION</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EDGE_INSULATION_XMAX</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Aerogel</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124,178.572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INSULATION</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EDGE_INSULATION_XMIN</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Aerogel</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124,178.572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0.0186</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INSULATION</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EDGE_INSULATION_YMAX</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Aerogel</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273,192.858</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0.0410</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INSULATION</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EDGE_INSULATION_YMIN</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Aerogel</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273,192.858</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0.0410</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INSULATION</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VIP_PANEL</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VIP_silica</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11,000,000</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2.0900</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BACKSHEET</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BACKSHEET_PANEL</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710,007.124</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1.9206</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SEALS</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SEAL_BACKSHEET_PERIMETER</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EPDM</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202,982.412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0.2334</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SEALS</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SEAL_GLAZING_LOWER</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EPDM</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204,410.221</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0.2351</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SEALS</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SEAL_GLAZING_UPPER</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EPDM</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102,205.111</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0.1175</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SEALS</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SEAL_MANIFOLD_LEFT</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EPDM</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10,675.2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0.0123</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SEALS</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SEAL_MANIFOLD_RIGHT</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EPDM</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10,675.2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0.0123</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SENSING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SENSOR_DS18B20_1</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Electronics</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49.087</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0.0001</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SENSING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SENSOR_DS18B20_2</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Electronics</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49.087</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SENSING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SENSOR_DS18B20_3</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Electronics</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49.087</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0.0001</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SENSING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SENSOR_DS18B20_4</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Electronics</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49.087</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SENSING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SENSOR_DS18B20_5</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Electronics</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49.087</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0.0001</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SENSING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SENSOR_DS18B20_6</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Electronics</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49.087</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0.0001</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SENSING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SENSOR_ESP32_BOARD</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Electronics</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7,280</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0.0102</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SENSING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SENSOR_PYRANOMETER_Si</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Electronics</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14,137.167</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0.0198</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MOUNT_BRACKET_XMAX_YMAX</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29,131.681</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0.0787</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MOUNT_BRACKET_XMAX_YMIN</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29,131.681</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0.0787</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MOUNT_BRACKET_XMIN_YMAX</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29,131.681</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0.0787</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MOUNT_BRACKET_XMIN_YMIN</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29,131.681</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0.0787</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MOUNT_LOCK_BOLT_XMAX_YMAX</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578.053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0.0016</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MOUNT_LOCK_BOLT_XMAX_YMIN</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578.053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0.0016</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MOUNT_LOCK_BOLT_XMIN_YMAX</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578.053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0.0016</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MOUNT_LOCK_BOLT_XMIN_YMIN</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578.053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0.0016</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MOUNT_PIVOT_PIN_XMAX_YMAX</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3,534.292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0.0095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MOUNT_PIVOT_PIN_XMAX_YMIN</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3,534.292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0.0095</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MOUNT_PIVOT_PIN_XMIN_YMAX</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3,534.292</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0.0095</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MOUNT_PIVOT_PIN_XMIN_YMIN</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3,534.292</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0.0095</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MOUNT_TILT_RAIL_YMAX</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1,114,690.708</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3.0097</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MOUNTING</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MOUNT_TILT_RAIL_YMIN</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Al6063T6</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1,114,690.708</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3.0097</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CFD_REFERENCE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CFD_ABSORBER_SOLID_MASTER</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AA1050</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2,607,284.779</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7.0527</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CFD_REFERENCE</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CFD_FLUID_CIRCUIT_EVEN_CH</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219,815.369</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0.2192</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CFD_REFERENCE</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CFD_FLUID_CIRCUIT_ODD_CH</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Water300K</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219,815.369</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0.2192</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CFD_STRIP_2CH_PERIODIC</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STRIP2_FLUID_CH05</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Steel</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0.1464</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CFD_STRIP_2CH_PERIODIC</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STRIP2_FLUID_CH06</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Steel</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0.1464</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CFD_STRIP_2CH_PERIODIC</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STRIP2_SOLID_2CH</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Steel</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187,817.19</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1.4744</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CFD_STRIP_3CH_MASTER</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STRIP_FLUID_CH05</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Steel</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0.1464</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CFD_STRIP_3CH_MASTER</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STRIP_FLUID_CH06</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Steel</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0.1464</w:t>
            </w:r>
          </w:p>
        </w:tc>
      </w:tr>
      <w:tr>
        <w:trPr>
          <w:cantSplit/>
          <w:tblHeader w:val="false"/>
        </w:trPr>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CFD_STRIP_3CH_MASTER</w:t>
            </w:r>
          </w:p>
        </w:tc>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STRIP_FLUID_CH07</w:t>
            </w:r>
          </w:p>
        </w:tc>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Steel</w:t>
            </w:r>
          </w:p>
        </w:tc>
        <w:tc>
          <w:tcPr>
            <w:tcW w:type="dxa" w:w="134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18,643.963</w:t>
            </w:r>
          </w:p>
        </w:tc>
        <w:tc>
          <w:tcPr>
            <w:tcW w:type="dxa" w:w="135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0.1464</w:t>
            </w:r>
          </w:p>
        </w:tc>
      </w:tr>
      <w:tr>
        <w:trPr>
          <w:cantSplit/>
          <w:tblHeader w:val="false"/>
        </w:trPr>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CFD_STRIP_3CH_MASTER</w:t>
            </w:r>
          </w:p>
        </w:tc>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STRIP_SOLID_3CH</w:t>
            </w:r>
          </w:p>
        </w:tc>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Steel</w:t>
            </w:r>
          </w:p>
        </w:tc>
        <w:tc>
          <w:tcPr>
            <w:tcW w:type="dxa" w:w="134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281,693.638</w:t>
            </w:r>
          </w:p>
        </w:tc>
        <w:tc>
          <w:tcPr>
            <w:tcW w:type="dxa" w:w="135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2.2113</w:t>
            </w:r>
          </w:p>
        </w:tc>
      </w:tr>
    </w:tbl>
    <w:p>
      <w:pPr>
        <w:keepNext/>
        <w:spacing w:after="60" w:before="120"/>
      </w:pPr>
      <w:r>
        <w:rPr>
          <w:i/>
          <w:iCs/>
          <w:color w:val="4A4D52"/>
          <w:sz w:val="17"/>
          <w:szCs w:val="17"/>
        </w:rPr>
        <w:t xml:space="preserve">Table D1. Every body in the assembly</w:t>
      </w:r>
    </w:p>
    <w:p>
      <w:pPr>
        <w:pStyle w:val="Heading1"/>
        <w:pageBreakBefore/>
        <w:spacing w:after="160" w:before="0"/>
      </w:pPr>
      <w:r>
        <w:t xml:space="preserve">Appendix E. Earlier (Rev 2) figures kept for the record</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Read before using these figures</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These figures were made at Rev 2 with the superseded Nusselt closure 2.92 and other early settings. Their thermal numbers are NOT the project results. They are kept only to show the history of the work. Use Sections 4–14 for all results.</w:t>
            </w:r>
          </w:p>
        </w:tc>
      </w:tr>
    </w:tbl>
    <w:p>
      <w:pPr>
        <w:spacing w:after="40" w:before="160"/>
        <w:jc w:val="center"/>
      </w:pPr>
      <w:r>
        <w:drawing>
          <wp:inline distT="0" distB="0" distL="0" distR="0">
            <wp:extent cx="45910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91050" cy="1990725"/>
                    </a:xfrm>
                    <a:prstGeom prst="rect">
                      <a:avLst/>
                    </a:prstGeom>
                  </pic:spPr>
                </pic:pic>
              </a:graphicData>
            </a:graphic>
          </wp:inline>
        </w:drawing>
      </w:r>
    </w:p>
    <w:p>
      <w:pPr>
        <w:spacing w:after="240" w:before="60"/>
        <w:jc w:val="center"/>
      </w:pPr>
      <w:r>
        <w:rPr>
          <w:i/>
          <w:iCs/>
          <w:color w:val="4A4D52"/>
          <w:sz w:val="17"/>
          <w:szCs w:val="17"/>
        </w:rPr>
        <w:t xml:space="preserve">Figure E.1. Buoyancy check (Rev 2) — superseded numbers</w:t>
      </w:r>
    </w:p>
    <w:p>
      <w:pPr>
        <w:spacing w:after="40" w:before="160"/>
        <w:jc w:val="center"/>
      </w:pPr>
      <w:r>
        <w:drawing>
          <wp:inline distT="0" distB="0" distL="0" distR="0">
            <wp:extent cx="45910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91050" cy="2447925"/>
                    </a:xfrm>
                    <a:prstGeom prst="rect">
                      <a:avLst/>
                    </a:prstGeom>
                  </pic:spPr>
                </pic:pic>
              </a:graphicData>
            </a:graphic>
          </wp:inline>
        </w:drawing>
      </w:r>
    </w:p>
    <w:p>
      <w:pPr>
        <w:spacing w:after="240" w:before="60"/>
        <w:jc w:val="center"/>
      </w:pPr>
      <w:r>
        <w:rPr>
          <w:i/>
          <w:iCs/>
          <w:color w:val="4A4D52"/>
          <w:sz w:val="17"/>
          <w:szCs w:val="17"/>
        </w:rPr>
        <w:t xml:space="preserve">Figure E.2. 3-D thermal result (Rev 2) — superseded numbers</w:t>
      </w:r>
    </w:p>
    <w:p>
      <w:pPr>
        <w:spacing w:after="40" w:before="160"/>
        <w:jc w:val="center"/>
      </w:pPr>
      <w:r>
        <w:drawing>
          <wp:inline distT="0" distB="0" distL="0" distR="0">
            <wp:extent cx="459105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91050" cy="981075"/>
                    </a:xfrm>
                    <a:prstGeom prst="rect">
                      <a:avLst/>
                    </a:prstGeom>
                  </pic:spPr>
                </pic:pic>
              </a:graphicData>
            </a:graphic>
          </wp:inline>
        </w:drawing>
      </w:r>
    </w:p>
    <w:p>
      <w:pPr>
        <w:spacing w:after="240" w:before="60"/>
        <w:jc w:val="center"/>
      </w:pPr>
      <w:r>
        <w:rPr>
          <w:i/>
          <w:iCs/>
          <w:color w:val="4A4D52"/>
          <w:sz w:val="17"/>
          <w:szCs w:val="17"/>
        </w:rPr>
        <w:t xml:space="preserve">Figure E.3. 3-D temperature (Rev 2) — superseded numbers</w:t>
      </w:r>
    </w:p>
    <w:p>
      <w:pPr>
        <w:spacing w:after="40" w:before="160"/>
        <w:jc w:val="center"/>
      </w:pPr>
      <w:r>
        <w:drawing>
          <wp:inline distT="0" distB="0" distL="0" distR="0">
            <wp:extent cx="45910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91050" cy="2009775"/>
                    </a:xfrm>
                    <a:prstGeom prst="rect">
                      <a:avLst/>
                    </a:prstGeom>
                  </pic:spPr>
                </pic:pic>
              </a:graphicData>
            </a:graphic>
          </wp:inline>
        </w:drawing>
      </w:r>
    </w:p>
    <w:p>
      <w:pPr>
        <w:spacing w:after="240" w:before="60"/>
        <w:jc w:val="center"/>
      </w:pPr>
      <w:r>
        <w:rPr>
          <w:i/>
          <w:iCs/>
          <w:color w:val="4A4D52"/>
          <w:sz w:val="17"/>
          <w:szCs w:val="17"/>
        </w:rPr>
        <w:t xml:space="preserve">Figure E.4. Efficiency (Rev 2) — superseded numbers</w:t>
      </w:r>
    </w:p>
    <w:p>
      <w:pPr>
        <w:spacing w:after="40" w:before="160"/>
        <w:jc w:val="center"/>
      </w:pPr>
      <w:r>
        <w:drawing>
          <wp:inline distT="0" distB="0" distL="0" distR="0">
            <wp:extent cx="45910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91050" cy="3333750"/>
                    </a:xfrm>
                    <a:prstGeom prst="rect">
                      <a:avLst/>
                    </a:prstGeom>
                  </pic:spPr>
                </pic:pic>
              </a:graphicData>
            </a:graphic>
          </wp:inline>
        </w:drawing>
      </w:r>
    </w:p>
    <w:p>
      <w:pPr>
        <w:spacing w:after="240" w:before="60"/>
        <w:jc w:val="center"/>
      </w:pPr>
      <w:r>
        <w:rPr>
          <w:i/>
          <w:iCs/>
          <w:color w:val="4A4D52"/>
          <w:sz w:val="17"/>
          <w:szCs w:val="17"/>
        </w:rPr>
        <w:t xml:space="preserve">Figure E.5. Hottel-Whillier comparison (Rev 2) — superseded numbers</w:t>
      </w:r>
    </w:p>
    <w:p>
      <w:pPr>
        <w:spacing w:after="40" w:before="160"/>
        <w:jc w:val="center"/>
      </w:pPr>
      <w:r>
        <w:drawing>
          <wp:inline distT="0" distB="0" distL="0" distR="0">
            <wp:extent cx="45910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91050" cy="1914525"/>
                    </a:xfrm>
                    <a:prstGeom prst="rect">
                      <a:avLst/>
                    </a:prstGeom>
                  </pic:spPr>
                </pic:pic>
              </a:graphicData>
            </a:graphic>
          </wp:inline>
        </w:drawing>
      </w:r>
    </w:p>
    <w:p>
      <w:pPr>
        <w:spacing w:after="240" w:before="60"/>
        <w:jc w:val="center"/>
      </w:pPr>
      <w:r>
        <w:rPr>
          <w:i/>
          <w:iCs/>
          <w:color w:val="4A4D52"/>
          <w:sz w:val="17"/>
          <w:szCs w:val="17"/>
        </w:rPr>
        <w:t xml:space="preserve">Figure E.6. Temperature rise (Rev 2) — superseded numbers</w:t>
      </w:r>
    </w:p>
    <w:p>
      <w:pPr>
        <w:spacing w:after="40" w:before="160"/>
        <w:jc w:val="center"/>
      </w:pPr>
      <w:r>
        <w:drawing>
          <wp:inline distT="0" distB="0" distL="0" distR="0">
            <wp:extent cx="45910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91050" cy="1914525"/>
                    </a:xfrm>
                    <a:prstGeom prst="rect">
                      <a:avLst/>
                    </a:prstGeom>
                  </pic:spPr>
                </pic:pic>
              </a:graphicData>
            </a:graphic>
          </wp:inline>
        </w:drawing>
      </w:r>
    </w:p>
    <w:p>
      <w:pPr>
        <w:spacing w:after="240" w:before="60"/>
        <w:jc w:val="center"/>
      </w:pPr>
      <w:r>
        <w:rPr>
          <w:i/>
          <w:iCs/>
          <w:color w:val="4A4D52"/>
          <w:sz w:val="17"/>
          <w:szCs w:val="17"/>
        </w:rPr>
        <w:t xml:space="preserve">Figure E.7. Wind effect (Rev 2) — superseded numbers</w:t>
      </w:r>
    </w:p>
    <w:p>
      <w:pPr>
        <w:spacing w:after="40" w:before="160"/>
        <w:jc w:val="center"/>
      </w:pPr>
      <w:r>
        <w:drawing>
          <wp:inline distT="0" distB="0" distL="0" distR="0">
            <wp:extent cx="45910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91050" cy="3152775"/>
                    </a:xfrm>
                    <a:prstGeom prst="rect">
                      <a:avLst/>
                    </a:prstGeom>
                  </pic:spPr>
                </pic:pic>
              </a:graphicData>
            </a:graphic>
          </wp:inline>
        </w:drawing>
      </w:r>
    </w:p>
    <w:p>
      <w:pPr>
        <w:spacing w:after="240" w:before="60"/>
        <w:jc w:val="center"/>
      </w:pPr>
      <w:r>
        <w:rPr>
          <w:i/>
          <w:iCs/>
          <w:color w:val="4A4D52"/>
          <w:sz w:val="17"/>
          <w:szCs w:val="17"/>
        </w:rPr>
        <w:t xml:space="preserve">Figure E.8. Correlation (Rev 2) — superseded numbers</w:t>
      </w:r>
    </w:p>
    <w:p>
      <w:pPr>
        <w:spacing w:after="40" w:before="160"/>
        <w:jc w:val="center"/>
      </w:pPr>
      <w:r>
        <w:drawing>
          <wp:inline distT="0" distB="0" distL="0" distR="0">
            <wp:extent cx="45910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91050" cy="1638300"/>
                    </a:xfrm>
                    <a:prstGeom prst="rect">
                      <a:avLst/>
                    </a:prstGeom>
                  </pic:spPr>
                </pic:pic>
              </a:graphicData>
            </a:graphic>
          </wp:inline>
        </w:drawing>
      </w:r>
    </w:p>
    <w:p>
      <w:pPr>
        <w:spacing w:after="240" w:before="60"/>
        <w:jc w:val="center"/>
      </w:pPr>
      <w:r>
        <w:rPr>
          <w:i/>
          <w:iCs/>
          <w:color w:val="4A4D52"/>
          <w:sz w:val="17"/>
          <w:szCs w:val="17"/>
        </w:rPr>
        <w:t xml:space="preserve">Figure E.9. Grading effect (Rev 2) — superseded numbers</w:t>
      </w:r>
    </w:p>
    <w:p>
      <w:pPr>
        <w:spacing w:after="40" w:before="160"/>
        <w:jc w:val="center"/>
      </w:pPr>
      <w:r>
        <w:drawing>
          <wp:inline distT="0" distB="0" distL="0" distR="0">
            <wp:extent cx="45910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91050" cy="1714500"/>
                    </a:xfrm>
                    <a:prstGeom prst="rect">
                      <a:avLst/>
                    </a:prstGeom>
                  </pic:spPr>
                </pic:pic>
              </a:graphicData>
            </a:graphic>
          </wp:inline>
        </w:drawing>
      </w:r>
    </w:p>
    <w:p>
      <w:pPr>
        <w:spacing w:after="240" w:before="60"/>
        <w:jc w:val="center"/>
      </w:pPr>
      <w:r>
        <w:rPr>
          <w:i/>
          <w:iCs/>
          <w:color w:val="4A4D52"/>
          <w:sz w:val="17"/>
          <w:szCs w:val="17"/>
        </w:rPr>
        <w:t xml:space="preserve">Figure E.10. Bridge effect (Rev 2) — superseded numbers</w:t>
      </w:r>
    </w:p>
    <w:p>
      <w:pPr>
        <w:spacing w:after="40" w:before="160"/>
        <w:jc w:val="center"/>
      </w:pPr>
      <w:r>
        <w:drawing>
          <wp:inline distT="0" distB="0" distL="0" distR="0">
            <wp:extent cx="45910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91050" cy="1619250"/>
                    </a:xfrm>
                    <a:prstGeom prst="rect">
                      <a:avLst/>
                    </a:prstGeom>
                  </pic:spPr>
                </pic:pic>
              </a:graphicData>
            </a:graphic>
          </wp:inline>
        </w:drawing>
      </w:r>
    </w:p>
    <w:p>
      <w:pPr>
        <w:spacing w:after="240" w:before="60"/>
        <w:jc w:val="center"/>
      </w:pPr>
      <w:r>
        <w:rPr>
          <w:i/>
          <w:iCs/>
          <w:color w:val="4A4D52"/>
          <w:sz w:val="17"/>
          <w:szCs w:val="17"/>
        </w:rPr>
        <w:t xml:space="preserve">Figure E.11. Distributions (Rev 2) — superseded numbers</w:t>
      </w:r>
    </w:p>
    <w:p>
      <w:pPr>
        <w:spacing w:after="40" w:before="160"/>
        <w:jc w:val="center"/>
      </w:pPr>
      <w:r>
        <w:drawing>
          <wp:inline distT="0" distB="0" distL="0" distR="0">
            <wp:extent cx="45910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91050" cy="1619250"/>
                    </a:xfrm>
                    <a:prstGeom prst="rect">
                      <a:avLst/>
                    </a:prstGeom>
                  </pic:spPr>
                </pic:pic>
              </a:graphicData>
            </a:graphic>
          </wp:inline>
        </w:drawing>
      </w:r>
    </w:p>
    <w:p>
      <w:pPr>
        <w:spacing w:after="240" w:before="60"/>
        <w:jc w:val="center"/>
      </w:pPr>
      <w:r>
        <w:rPr>
          <w:i/>
          <w:iCs/>
          <w:color w:val="4A4D52"/>
          <w:sz w:val="17"/>
          <w:szCs w:val="17"/>
        </w:rPr>
        <w:t xml:space="preserve">Figure E.12. Mechanism in campaign (Rev 2) — superseded numbers</w:t>
      </w:r>
    </w:p>
    <w:p>
      <w:pPr>
        <w:spacing w:after="40" w:before="160"/>
        <w:jc w:val="center"/>
      </w:pPr>
      <w:r>
        <w:drawing>
          <wp:inline distT="0" distB="0" distL="0" distR="0">
            <wp:extent cx="45910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91050" cy="1590675"/>
                    </a:xfrm>
                    <a:prstGeom prst="rect">
                      <a:avLst/>
                    </a:prstGeom>
                  </pic:spPr>
                </pic:pic>
              </a:graphicData>
            </a:graphic>
          </wp:inline>
        </w:drawing>
      </w:r>
    </w:p>
    <w:p>
      <w:pPr>
        <w:spacing w:after="240" w:before="60"/>
        <w:jc w:val="center"/>
      </w:pPr>
      <w:r>
        <w:rPr>
          <w:i/>
          <w:iCs/>
          <w:color w:val="4A4D52"/>
          <w:sz w:val="17"/>
          <w:szCs w:val="17"/>
        </w:rPr>
        <w:t xml:space="preserve">Figure E.13. Campaign quality (Rev 2) — superseded numbers</w:t>
      </w:r>
    </w:p>
    <w:p>
      <w:pPr>
        <w:spacing w:after="40" w:before="160"/>
        <w:jc w:val="center"/>
      </w:pPr>
      <w:r>
        <w:drawing>
          <wp:inline distT="0" distB="0" distL="0" distR="0">
            <wp:extent cx="45910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91050" cy="1657350"/>
                    </a:xfrm>
                    <a:prstGeom prst="rect">
                      <a:avLst/>
                    </a:prstGeom>
                  </pic:spPr>
                </pic:pic>
              </a:graphicData>
            </a:graphic>
          </wp:inline>
        </w:drawing>
      </w:r>
    </w:p>
    <w:p>
      <w:pPr>
        <w:spacing w:after="240" w:before="60"/>
        <w:jc w:val="center"/>
      </w:pPr>
      <w:r>
        <w:rPr>
          <w:i/>
          <w:iCs/>
          <w:color w:val="4A4D52"/>
          <w:sz w:val="17"/>
          <w:szCs w:val="17"/>
        </w:rPr>
        <w:t xml:space="preserve">Figure E.14. Domain equivalence, 3-channel vs 2-channel (Rev 2) — superseded numbers</w:t>
      </w:r>
    </w:p>
    <w:p>
      <w:pPr>
        <w:spacing w:after="40" w:before="160"/>
        <w:jc w:val="center"/>
      </w:pPr>
      <w:r>
        <w:drawing>
          <wp:inline distT="0" distB="0" distL="0" distR="0">
            <wp:extent cx="45910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91050" cy="1743075"/>
                    </a:xfrm>
                    <a:prstGeom prst="rect">
                      <a:avLst/>
                    </a:prstGeom>
                  </pic:spPr>
                </pic:pic>
              </a:graphicData>
            </a:graphic>
          </wp:inline>
        </w:drawing>
      </w:r>
    </w:p>
    <w:p>
      <w:pPr>
        <w:spacing w:after="240" w:before="60"/>
        <w:jc w:val="center"/>
      </w:pPr>
      <w:r>
        <w:rPr>
          <w:i/>
          <w:iCs/>
          <w:color w:val="4A4D52"/>
          <w:sz w:val="17"/>
          <w:szCs w:val="17"/>
        </w:rPr>
        <w:t xml:space="preserve">Figure E.15. Domain fields (Rev 2) — superseded numbers</w:t>
      </w:r>
    </w:p>
    <w:p>
      <w:pPr>
        <w:spacing w:after="40" w:before="160"/>
        <w:jc w:val="center"/>
      </w:pPr>
      <w:r>
        <w:drawing>
          <wp:inline distT="0" distB="0" distL="0" distR="0">
            <wp:extent cx="45910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91050" cy="4438650"/>
                    </a:xfrm>
                    <a:prstGeom prst="rect">
                      <a:avLst/>
                    </a:prstGeom>
                  </pic:spPr>
                </pic:pic>
              </a:graphicData>
            </a:graphic>
          </wp:inline>
        </w:drawing>
      </w:r>
    </w:p>
    <w:p>
      <w:pPr>
        <w:spacing w:after="240" w:before="60"/>
        <w:jc w:val="center"/>
      </w:pPr>
      <w:r>
        <w:rPr>
          <w:i/>
          <w:iCs/>
          <w:color w:val="4A4D52"/>
          <w:sz w:val="17"/>
          <w:szCs w:val="17"/>
        </w:rPr>
        <w:t xml:space="preserve">Figure E.16. Mechanism fields (Rev 2) — superseded numbers</w:t>
      </w:r>
    </w:p>
    <w:p>
      <w:pPr>
        <w:spacing w:after="40" w:before="160"/>
        <w:jc w:val="center"/>
      </w:pPr>
      <w:r>
        <w:drawing>
          <wp:inline distT="0" distB="0" distL="0" distR="0">
            <wp:extent cx="45910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91050" cy="2114550"/>
                    </a:xfrm>
                    <a:prstGeom prst="rect">
                      <a:avLst/>
                    </a:prstGeom>
                  </pic:spPr>
                </pic:pic>
              </a:graphicData>
            </a:graphic>
          </wp:inline>
        </w:drawing>
      </w:r>
    </w:p>
    <w:p>
      <w:pPr>
        <w:spacing w:after="240" w:before="60"/>
        <w:jc w:val="center"/>
      </w:pPr>
      <w:r>
        <w:rPr>
          <w:i/>
          <w:iCs/>
          <w:color w:val="4A4D52"/>
          <w:sz w:val="17"/>
          <w:szCs w:val="17"/>
        </w:rPr>
        <w:t xml:space="preserve">Figure E.17. Temperature distribution (Rev 2) — superseded numbers</w:t>
      </w:r>
    </w:p>
    <w:p>
      <w:pPr>
        <w:spacing w:after="40" w:before="160"/>
        <w:jc w:val="center"/>
      </w:pPr>
      <w:r>
        <w:drawing>
          <wp:inline distT="0" distB="0" distL="0" distR="0">
            <wp:extent cx="45910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91050" cy="2857500"/>
                    </a:xfrm>
                    <a:prstGeom prst="rect">
                      <a:avLst/>
                    </a:prstGeom>
                  </pic:spPr>
                </pic:pic>
              </a:graphicData>
            </a:graphic>
          </wp:inline>
        </w:drawing>
      </w:r>
    </w:p>
    <w:p>
      <w:pPr>
        <w:spacing w:after="240" w:before="60"/>
        <w:jc w:val="center"/>
      </w:pPr>
      <w:r>
        <w:rPr>
          <w:i/>
          <w:iCs/>
          <w:color w:val="4A4D52"/>
          <w:sz w:val="17"/>
          <w:szCs w:val="17"/>
        </w:rPr>
        <w:t xml:space="preserve">Figure E.18. Bridge conduction (Rev 2) — superseded numbers</w:t>
      </w:r>
    </w:p>
    <w:p>
      <w:pPr>
        <w:spacing w:after="40" w:before="160"/>
        <w:jc w:val="center"/>
      </w:pPr>
      <w:r>
        <w:drawing>
          <wp:inline distT="0" distB="0" distL="0" distR="0">
            <wp:extent cx="45910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91050" cy="1838325"/>
                    </a:xfrm>
                    <a:prstGeom prst="rect">
                      <a:avLst/>
                    </a:prstGeom>
                  </pic:spPr>
                </pic:pic>
              </a:graphicData>
            </a:graphic>
          </wp:inline>
        </w:drawing>
      </w:r>
    </w:p>
    <w:p>
      <w:pPr>
        <w:spacing w:after="240" w:before="60"/>
        <w:jc w:val="center"/>
      </w:pPr>
      <w:r>
        <w:rPr>
          <w:i/>
          <w:iCs/>
          <w:color w:val="4A4D52"/>
          <w:sz w:val="17"/>
          <w:szCs w:val="17"/>
        </w:rPr>
        <w:t xml:space="preserve">Figure E.19. 3-D grid convergence (Rev 2) — superseded numbers</w:t>
      </w:r>
    </w:p>
    <w:p>
      <w:pPr>
        <w:spacing w:after="40" w:before="160"/>
        <w:jc w:val="center"/>
      </w:pPr>
      <w:r>
        <w:drawing>
          <wp:inline distT="0" distB="0" distL="0" distR="0">
            <wp:extent cx="45910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591050" cy="1733550"/>
                    </a:xfrm>
                    <a:prstGeom prst="rect">
                      <a:avLst/>
                    </a:prstGeom>
                  </pic:spPr>
                </pic:pic>
              </a:graphicData>
            </a:graphic>
          </wp:inline>
        </w:drawing>
      </w:r>
    </w:p>
    <w:p>
      <w:pPr>
        <w:spacing w:after="240" w:before="60"/>
        <w:jc w:val="center"/>
      </w:pPr>
      <w:r>
        <w:rPr>
          <w:i/>
          <w:iCs/>
          <w:color w:val="4A4D52"/>
          <w:sz w:val="17"/>
          <w:szCs w:val="17"/>
        </w:rPr>
        <w:t xml:space="preserve">Figure E.20. Grid convergence (Rev 2) — superseded numbers</w:t>
      </w:r>
    </w:p>
    <w:p>
      <w:pPr>
        <w:spacing w:after="40" w:before="160"/>
        <w:jc w:val="center"/>
      </w:pPr>
      <w:r>
        <w:drawing>
          <wp:inline distT="0" distB="0" distL="0" distR="0">
            <wp:extent cx="45910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91050" cy="1685925"/>
                    </a:xfrm>
                    <a:prstGeom prst="rect">
                      <a:avLst/>
                    </a:prstGeom>
                  </pic:spPr>
                </pic:pic>
              </a:graphicData>
            </a:graphic>
          </wp:inline>
        </w:drawing>
      </w:r>
    </w:p>
    <w:p>
      <w:pPr>
        <w:spacing w:after="240" w:before="60"/>
        <w:jc w:val="center"/>
      </w:pPr>
      <w:r>
        <w:rPr>
          <w:i/>
          <w:iCs/>
          <w:color w:val="4A4D52"/>
          <w:sz w:val="17"/>
          <w:szCs w:val="17"/>
        </w:rPr>
        <w:t xml:space="preserve">Figure E.21. Input uncertainty (Rev 2) — superseded numbers</w:t>
      </w:r>
    </w:p>
    <w:p>
      <w:pPr>
        <w:spacing w:after="40" w:before="160"/>
        <w:jc w:val="center"/>
      </w:pPr>
      <w:r>
        <w:drawing>
          <wp:inline distT="0" distB="0" distL="0" distR="0">
            <wp:extent cx="45910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91050" cy="1990725"/>
                    </a:xfrm>
                    <a:prstGeom prst="rect">
                      <a:avLst/>
                    </a:prstGeom>
                  </pic:spPr>
                </pic:pic>
              </a:graphicData>
            </a:graphic>
          </wp:inline>
        </w:drawing>
      </w:r>
    </w:p>
    <w:p>
      <w:pPr>
        <w:spacing w:after="240" w:before="60"/>
        <w:jc w:val="center"/>
      </w:pPr>
      <w:r>
        <w:rPr>
          <w:i/>
          <w:iCs/>
          <w:color w:val="4A4D52"/>
          <w:sz w:val="17"/>
          <w:szCs w:val="17"/>
        </w:rPr>
        <w:t xml:space="preserve">Figure E.22. Sensitivity (Rev 2) — superseded numbers</w:t>
      </w:r>
    </w:p>
    <w:p>
      <w:pPr>
        <w:spacing w:after="40" w:before="160"/>
        <w:jc w:val="center"/>
      </w:pPr>
      <w:r>
        <w:drawing>
          <wp:inline distT="0" distB="0" distL="0" distR="0">
            <wp:extent cx="45910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91050" cy="1704975"/>
                    </a:xfrm>
                    <a:prstGeom prst="rect">
                      <a:avLst/>
                    </a:prstGeom>
                  </pic:spPr>
                </pic:pic>
              </a:graphicData>
            </a:graphic>
          </wp:inline>
        </w:drawing>
      </w:r>
    </w:p>
    <w:p>
      <w:pPr>
        <w:spacing w:after="240" w:before="60"/>
        <w:jc w:val="center"/>
      </w:pPr>
      <w:r>
        <w:rPr>
          <w:i/>
          <w:iCs/>
          <w:color w:val="4A4D52"/>
          <w:sz w:val="17"/>
          <w:szCs w:val="17"/>
        </w:rPr>
        <w:t xml:space="preserve">Figure E.23. Campaign correction (Rev 2) — superseded numbers</w:t>
      </w:r>
    </w:p>
    <w:p>
      <w:pPr>
        <w:spacing w:after="40" w:before="160"/>
        <w:jc w:val="center"/>
      </w:pPr>
      <w:r>
        <w:drawing>
          <wp:inline distT="0" distB="0" distL="0" distR="0">
            <wp:extent cx="45910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91050" cy="2057400"/>
                    </a:xfrm>
                    <a:prstGeom prst="rect">
                      <a:avLst/>
                    </a:prstGeom>
                  </pic:spPr>
                </pic:pic>
              </a:graphicData>
            </a:graphic>
          </wp:inline>
        </w:drawing>
      </w:r>
    </w:p>
    <w:p>
      <w:pPr>
        <w:spacing w:after="240" w:before="60"/>
        <w:jc w:val="center"/>
      </w:pPr>
      <w:r>
        <w:rPr>
          <w:i/>
          <w:iCs/>
          <w:color w:val="4A4D52"/>
          <w:sz w:val="17"/>
          <w:szCs w:val="17"/>
        </w:rPr>
        <w:t xml:space="preserve">Figure E.24. HWB check (Rev 2) — superseded numbers</w:t>
      </w:r>
    </w:p>
    <w:p>
      <w:pPr>
        <w:spacing w:after="40" w:before="160"/>
        <w:jc w:val="center"/>
      </w:pPr>
      <w:r>
        <w:drawing>
          <wp:inline distT="0" distB="0" distL="0" distR="0">
            <wp:extent cx="45910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91050" cy="2581275"/>
                    </a:xfrm>
                    <a:prstGeom prst="rect">
                      <a:avLst/>
                    </a:prstGeom>
                  </pic:spPr>
                </pic:pic>
              </a:graphicData>
            </a:graphic>
          </wp:inline>
        </w:drawing>
      </w:r>
    </w:p>
    <w:p>
      <w:pPr>
        <w:spacing w:after="240" w:before="60"/>
        <w:jc w:val="center"/>
      </w:pPr>
      <w:r>
        <w:rPr>
          <w:i/>
          <w:iCs/>
          <w:color w:val="4A4D52"/>
          <w:sz w:val="17"/>
          <w:szCs w:val="17"/>
        </w:rPr>
        <w:t xml:space="preserve">Figure E.25. Section conduction check (Rev 2) — superseded numbers</w:t>
      </w:r>
    </w:p>
    <w:p>
      <w:pPr>
        <w:spacing w:after="40" w:before="160"/>
        <w:jc w:val="center"/>
      </w:pPr>
      <w:r>
        <w:drawing>
          <wp:inline distT="0" distB="0" distL="0" distR="0">
            <wp:extent cx="45910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91050" cy="1838325"/>
                    </a:xfrm>
                    <a:prstGeom prst="rect">
                      <a:avLst/>
                    </a:prstGeom>
                  </pic:spPr>
                </pic:pic>
              </a:graphicData>
            </a:graphic>
          </wp:inline>
        </w:drawing>
      </w:r>
    </w:p>
    <w:p>
      <w:pPr>
        <w:spacing w:after="240" w:before="60"/>
        <w:jc w:val="center"/>
      </w:pPr>
      <w:r>
        <w:rPr>
          <w:i/>
          <w:iCs/>
          <w:color w:val="4A4D52"/>
          <w:sz w:val="17"/>
          <w:szCs w:val="17"/>
        </w:rPr>
        <w:t xml:space="preserve">Figure E.26. Rev 1 vs Rev 2 — superseded numbers</w:t>
      </w:r>
    </w:p>
    <w:p>
      <w:pPr>
        <w:spacing w:after="40" w:before="160"/>
        <w:jc w:val="center"/>
      </w:pPr>
      <w:r>
        <w:drawing>
          <wp:inline distT="0" distB="0" distL="0" distR="0">
            <wp:extent cx="45910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591050" cy="1857375"/>
                    </a:xfrm>
                    <a:prstGeom prst="rect">
                      <a:avLst/>
                    </a:prstGeom>
                  </pic:spPr>
                </pic:pic>
              </a:graphicData>
            </a:graphic>
          </wp:inline>
        </w:drawing>
      </w:r>
    </w:p>
    <w:p>
      <w:pPr>
        <w:spacing w:after="240" w:before="60"/>
        <w:jc w:val="center"/>
      </w:pPr>
      <w:r>
        <w:rPr>
          <w:i/>
          <w:iCs/>
          <w:color w:val="4A4D52"/>
          <w:sz w:val="17"/>
          <w:szCs w:val="17"/>
        </w:rPr>
        <w:t xml:space="preserve">Figure E.27. PCM transient side study (Rev 2) — superseded numbers</w:t>
      </w:r>
    </w:p>
    <w:p>
      <w:pPr>
        <w:spacing w:after="40" w:before="160"/>
        <w:jc w:val="center"/>
      </w:pPr>
      <w:r>
        <w:drawing>
          <wp:inline distT="0" distB="0" distL="0" distR="0">
            <wp:extent cx="45910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91050" cy="2066925"/>
                    </a:xfrm>
                    <a:prstGeom prst="rect">
                      <a:avLst/>
                    </a:prstGeom>
                  </pic:spPr>
                </pic:pic>
              </a:graphicData>
            </a:graphic>
          </wp:inline>
        </w:drawing>
      </w:r>
    </w:p>
    <w:p>
      <w:pPr>
        <w:spacing w:after="240" w:before="60"/>
        <w:jc w:val="center"/>
      </w:pPr>
      <w:r>
        <w:rPr>
          <w:i/>
          <w:iCs/>
          <w:color w:val="4A4D52"/>
          <w:sz w:val="17"/>
          <w:szCs w:val="17"/>
        </w:rPr>
        <w:t xml:space="preserve">Figure E.28. Thermotropic layer side study (Rev 2) — superseded numbers</w:t>
      </w:r>
    </w:p>
    <w:p>
      <w:pPr>
        <w:spacing w:after="40" w:before="160"/>
        <w:jc w:val="center"/>
      </w:pPr>
      <w:r>
        <w:drawing>
          <wp:inline distT="0" distB="0" distL="0" distR="0">
            <wp:extent cx="459105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91050" cy="1676400"/>
                    </a:xfrm>
                    <a:prstGeom prst="rect">
                      <a:avLst/>
                    </a:prstGeom>
                  </pic:spPr>
                </pic:pic>
              </a:graphicData>
            </a:graphic>
          </wp:inline>
        </w:drawing>
      </w:r>
    </w:p>
    <w:p>
      <w:pPr>
        <w:spacing w:after="240" w:before="60"/>
        <w:jc w:val="center"/>
      </w:pPr>
      <w:r>
        <w:rPr>
          <w:i/>
          <w:iCs/>
          <w:color w:val="4A4D52"/>
          <w:sz w:val="17"/>
          <w:szCs w:val="17"/>
        </w:rPr>
        <w:t xml:space="preserve">Figure E.29. PCM state (Rev 2) — superseded numbers</w:t>
      </w:r>
    </w:p>
    <w:p>
      <w:pPr>
        <w:spacing w:after="40" w:before="160"/>
        <w:jc w:val="center"/>
      </w:pPr>
      <w:r>
        <w:drawing>
          <wp:inline distT="0" distB="0" distL="0" distR="0">
            <wp:extent cx="45910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91050" cy="1838325"/>
                    </a:xfrm>
                    <a:prstGeom prst="rect">
                      <a:avLst/>
                    </a:prstGeom>
                  </pic:spPr>
                </pic:pic>
              </a:graphicData>
            </a:graphic>
          </wp:inline>
        </w:drawing>
      </w:r>
    </w:p>
    <w:p>
      <w:pPr>
        <w:spacing w:after="240" w:before="60"/>
        <w:jc w:val="center"/>
      </w:pPr>
      <w:r>
        <w:rPr>
          <w:i/>
          <w:iCs/>
          <w:color w:val="4A4D52"/>
          <w:sz w:val="17"/>
          <w:szCs w:val="17"/>
        </w:rPr>
        <w:t xml:space="preserve">Figure E.30. Thermotropic effect (Rev 2) — superseded numbers</w:t>
      </w:r>
    </w:p>
    <w:p>
      <w:pPr>
        <w:pStyle w:val="Heading1"/>
        <w:pageBreakBefore/>
        <w:spacing w:after="160" w:before="0"/>
      </w:pPr>
      <w:r>
        <w:t xml:space="preserve">Appendix F. References</w:t>
      </w:r>
    </w:p>
    <w:p>
      <w:pPr>
        <w:spacing w:after="120" w:before="0" w:line="276" w:lineRule="auto"/>
      </w:pPr>
      <w:r>
        <w:rPr>
          <w:sz w:val="18"/>
          <w:szCs w:val="18"/>
        </w:rPr>
        <w:t xml:space="preserve">[1] Del Col D. et al., Thermal performance of flat plate solar collectors with sheet-and-tube and roll-bond absorbers, Energy 58 (2013) 258–269.</w:t>
      </w:r>
    </w:p>
    <w:p>
      <w:pPr>
        <w:spacing w:after="120" w:before="0" w:line="276" w:lineRule="auto"/>
      </w:pPr>
      <w:r>
        <w:rPr>
          <w:sz w:val="18"/>
          <w:szCs w:val="18"/>
        </w:rPr>
        <w:t xml:space="preserve">[2] Beikircher T., Möckl M., Osgyan P., Streib G., Advanced solar flat plate collectors with full area absorber, front side film and rear side vacuum super insulation, Sol. Energy Mater. Sol. Cells 141 (2015) 398–406.</w:t>
      </w:r>
    </w:p>
    <w:p>
      <w:pPr>
        <w:spacing w:after="120" w:before="0" w:line="276" w:lineRule="auto"/>
      </w:pPr>
      <w:r>
        <w:rPr>
          <w:sz w:val="18"/>
          <w:szCs w:val="18"/>
        </w:rPr>
        <w:t xml:space="preserve">[3] Duffie J.A., Beckman W.A., Solar Engineering of Thermal Processes, 4th ed., Wiley, 2013.</w:t>
      </w:r>
    </w:p>
    <w:p>
      <w:pPr>
        <w:spacing w:after="120" w:before="0" w:line="276" w:lineRule="auto"/>
      </w:pPr>
      <w:r>
        <w:rPr>
          <w:sz w:val="18"/>
          <w:szCs w:val="18"/>
        </w:rPr>
        <w:t xml:space="preserve">[4] Shah R.K., London A.L., Laminar Flow Forced Convection in Ducts, Academic Press, 1978.</w:t>
      </w:r>
    </w:p>
    <w:p>
      <w:pPr>
        <w:spacing w:after="120" w:before="0" w:line="276" w:lineRule="auto"/>
      </w:pPr>
      <w:r>
        <w:rPr>
          <w:sz w:val="18"/>
          <w:szCs w:val="18"/>
        </w:rPr>
        <w:t xml:space="preserve">[5] Celik I.B. et al., Procedure for estimation and reporting of uncertainty due to discretization in CFD applications, J. Fluids Eng. 130 (2008) 078001.</w:t>
      </w:r>
    </w:p>
    <w:p>
      <w:pPr>
        <w:spacing w:after="120" w:before="0" w:line="276" w:lineRule="auto"/>
      </w:pPr>
      <w:r>
        <w:rPr>
          <w:sz w:val="18"/>
          <w:szCs w:val="18"/>
        </w:rPr>
        <w:t xml:space="preserve">[6] ISO 9806:2017, Solar thermal collectors — Test methods.</w:t>
      </w:r>
    </w:p>
    <w:p>
      <w:pPr>
        <w:spacing w:after="120" w:before="0" w:line="276" w:lineRule="auto"/>
      </w:pPr>
      <w:r>
        <w:rPr>
          <w:sz w:val="18"/>
          <w:szCs w:val="18"/>
        </w:rPr>
        <w:t xml:space="preserve">[7] Deb K. et al., NSGA-II, IEEE Trans. Evol. Comput. 6 (2002) 182–197.</w:t>
      </w:r>
    </w:p>
    <w:p>
      <w:pPr>
        <w:spacing w:after="120" w:before="0" w:line="276" w:lineRule="auto"/>
      </w:pPr>
      <w:r>
        <w:rPr>
          <w:sz w:val="18"/>
          <w:szCs w:val="18"/>
        </w:rPr>
        <w:t xml:space="preserve">[8] Lundberg S.M., Lee S.-I., SHAP, NeurIPS 30 (2017).</w:t>
      </w:r>
    </w:p>
    <w:p>
      <w:pPr>
        <w:spacing w:after="120" w:before="0" w:line="276" w:lineRule="auto"/>
      </w:pPr>
      <w:r>
        <w:rPr>
          <w:sz w:val="18"/>
          <w:szCs w:val="18"/>
        </w:rPr>
        <w:t xml:space="preserve">[9] PVGIS TMY 2005–2023, European Commission JRC.</w:t>
      </w:r>
    </w:p>
    <w:p>
      <w:pPr>
        <w:spacing w:after="120" w:before="0" w:line="276" w:lineRule="auto"/>
      </w:pPr>
      <w:r>
        <w:rPr>
          <w:sz w:val="18"/>
          <w:szCs w:val="18"/>
        </w:rPr>
        <w:t xml:space="preserve">[10] Hay J.E., Davies J.A., Calculation of the solar radiation incident on an inclined surface, 1980.</w:t>
      </w:r>
    </w:p>
    <w:p>
      <w:pPr>
        <w:spacing w:after="120" w:before="0" w:line="276" w:lineRule="auto"/>
      </w:pPr>
      <w:r>
        <w:rPr>
          <w:sz w:val="18"/>
          <w:szCs w:val="18"/>
        </w:rPr>
        <w:t xml:space="preserve">[11] Other screened papers: see Table 14 (Gunjo 2017; Bharathiraja 2024; Vahidinia 2024; Zareie 2024; Parthiban 2025; Ding 2025; Li 2024; Alawi 2024; Mansour 2013; Zheng 2024; Sakib 2026; Kessentini; Robles 2014; Oyinlola &amp; Shire 2018).</w:t>
      </w:r>
    </w:p>
    <w:sectPr>
      <w:headerReference w:type="default" r:id="rId8"/>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D1" w:sz="4" w:space="6"/>
      </w:pBdr>
    </w:pPr>
    <w:r>
      <w:rPr>
        <w:color w:val="4A4D52"/>
        <w:sz w:val="16"/>
        <w:szCs w:val="16"/>
      </w:rPr>
      <w:t xml:space="preserve">GRAIL Collector —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124"/>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B4F7A"/>
      <w:sz w:val="30"/>
      <w:szCs w:val="30"/>
    </w:rPr>
  </w:style>
  <w:style w:type="paragraph" w:styleId="Heading2">
    <w:name w:val="Heading 2"/>
    <w:basedOn w:val="Normal"/>
    <w:next w:val="Normal"/>
    <w:qFormat/>
    <w:pPr>
      <w:spacing w:after="120" w:before="280"/>
    </w:pPr>
    <w:rPr>
      <w:rFonts w:ascii="Calibri" w:cs="Calibri" w:eastAsia="Calibri" w:hAnsi="Calibri"/>
      <w:b/>
      <w:bCs/>
      <w:color w:val="1F2124"/>
      <w:sz w:val="25"/>
      <w:szCs w:val="25"/>
    </w:rPr>
  </w:style>
  <w:style w:type="paragraph" w:styleId="Heading3">
    <w:name w:val="Heading 3"/>
    <w:basedOn w:val="Normal"/>
    <w:next w:val="Normal"/>
    <w:qFormat/>
    <w:pPr>
      <w:spacing w:after="100" w:before="220"/>
    </w:pPr>
    <w:rPr>
      <w:rFonts w:ascii="Calibri" w:cs="Calibri" w:eastAsia="Calibri" w:hAnsi="Calibri"/>
      <w:b/>
      <w:bCs/>
      <w:color w:val="4A4D5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78662e7bdfeb9a0c28f70b2ece078bab47dd4f4d.png"/><Relationship Id="rId11" Type="http://schemas.openxmlformats.org/officeDocument/2006/relationships/image" Target="media/5f325693c379a47b24fd832989d3466c69a7a730.png"/><Relationship Id="rId12" Type="http://schemas.openxmlformats.org/officeDocument/2006/relationships/image" Target="media/e3a40c68adf2105579d080f8dd7015b222631c4a.png"/><Relationship Id="rId13" Type="http://schemas.openxmlformats.org/officeDocument/2006/relationships/image" Target="media/cab00ffbded1c43c779c1ea6ecdd10f352fd35a4.png"/><Relationship Id="rId14" Type="http://schemas.openxmlformats.org/officeDocument/2006/relationships/image" Target="media/ca0fccd27f794c747b9f9c39b46781219e30a0e0.png"/><Relationship Id="rId15" Type="http://schemas.openxmlformats.org/officeDocument/2006/relationships/image" Target="media/25cad649ce93d9edd56312dad264dcaf57fdd588.png"/><Relationship Id="rId16" Type="http://schemas.openxmlformats.org/officeDocument/2006/relationships/image" Target="media/de0990ec07843b307f0783417b1ccebbcad908a5.png"/><Relationship Id="rId17" Type="http://schemas.openxmlformats.org/officeDocument/2006/relationships/image" Target="media/351572ba6c723a6e218235847e776eda04cd21d7.png"/><Relationship Id="rId18" Type="http://schemas.openxmlformats.org/officeDocument/2006/relationships/image" Target="media/86f5162620d48031a8d0b5ddfa1a091dea1a6e45.png"/><Relationship Id="rId19" Type="http://schemas.openxmlformats.org/officeDocument/2006/relationships/image" Target="media/19ca484a95ab185b5a82979c233c4d428a685574.png"/><Relationship Id="rId20" Type="http://schemas.openxmlformats.org/officeDocument/2006/relationships/image" Target="media/5e8688513a1d1a8afb58230f18efb0b2f26036b5.png"/><Relationship Id="rId21" Type="http://schemas.openxmlformats.org/officeDocument/2006/relationships/image" Target="media/389b3909223540809edf407d0b0ec6da9c7bf278.png"/><Relationship Id="rId22" Type="http://schemas.openxmlformats.org/officeDocument/2006/relationships/image" Target="media/506bbe6e320c0bbb69c77c230356c20d965a4651.png"/><Relationship Id="rId23" Type="http://schemas.openxmlformats.org/officeDocument/2006/relationships/image" Target="media/6fee7d3c48511dff347d130ea355cf1da7c55f25.png"/><Relationship Id="rId24" Type="http://schemas.openxmlformats.org/officeDocument/2006/relationships/image" Target="media/46a8ffd3180065503b53d8b35ee6e077cb495c3e.png"/><Relationship Id="rId25" Type="http://schemas.openxmlformats.org/officeDocument/2006/relationships/image" Target="media/c70f66ec8da26e4493ea65dd1d487e1cc1478014.png"/><Relationship Id="rId26" Type="http://schemas.openxmlformats.org/officeDocument/2006/relationships/image" Target="media/5b296e36b1e6586f6c25a939b33b7db4fd8a2029.png"/><Relationship Id="rId27" Type="http://schemas.openxmlformats.org/officeDocument/2006/relationships/image" Target="media/3beac411db01174e95b644263fa0b6253872193b.png"/><Relationship Id="rId28" Type="http://schemas.openxmlformats.org/officeDocument/2006/relationships/image" Target="media/47a0d4a40dca047944d317b528c794e234845727.png"/><Relationship Id="rId29" Type="http://schemas.openxmlformats.org/officeDocument/2006/relationships/image" Target="media/ca61b40d25e8c1da346f90015723d37b2d9b2883.png"/><Relationship Id="rId30" Type="http://schemas.openxmlformats.org/officeDocument/2006/relationships/image" Target="media/3d33cb6f07208f5a121c12d441e90c89c8f902a7.png"/><Relationship Id="rId31" Type="http://schemas.openxmlformats.org/officeDocument/2006/relationships/image" Target="media/f4efb3d3e05cfe56280fc28c91e2cf9ab3ece20c.png"/><Relationship Id="rId32" Type="http://schemas.openxmlformats.org/officeDocument/2006/relationships/image" Target="media/0dbff42c1c2d81695e8c90bd172b3299e1a194bf.png"/><Relationship Id="rId33" Type="http://schemas.openxmlformats.org/officeDocument/2006/relationships/image" Target="media/356b0a90164a184f9fac5fa6a0c65b1418c875d4.png"/><Relationship Id="rId34" Type="http://schemas.openxmlformats.org/officeDocument/2006/relationships/image" Target="media/c4df34a99b330eb5946217b22135c8008521ea4d.png"/><Relationship Id="rId35" Type="http://schemas.openxmlformats.org/officeDocument/2006/relationships/image" Target="media/d11c1e99e84e6a31cdb7f25a05f469e4e529c38a.png"/><Relationship Id="rId36" Type="http://schemas.openxmlformats.org/officeDocument/2006/relationships/image" Target="media/5b37c20f5d6f59add49812be5b688dba137291cb.png"/><Relationship Id="rId37" Type="http://schemas.openxmlformats.org/officeDocument/2006/relationships/image" Target="media/468531b4cb8b6fb46efef421fdeddeaed0d1e921.png"/><Relationship Id="rId38" Type="http://schemas.openxmlformats.org/officeDocument/2006/relationships/image" Target="media/114d0478f21a730c245656501cdb364ced9c457d.png"/><Relationship Id="rId39" Type="http://schemas.openxmlformats.org/officeDocument/2006/relationships/image" Target="media/65ff9307d7c75d70a1f90289663973ab6372f99b.png"/><Relationship Id="rId40" Type="http://schemas.openxmlformats.org/officeDocument/2006/relationships/image" Target="media/1b04816bbfc6893bae4e43f8ebc0caff8fbb3e02.png"/><Relationship Id="rId41" Type="http://schemas.openxmlformats.org/officeDocument/2006/relationships/image" Target="media/ab6f5f66d39ecb2cd94408f04c57fe8e990e3720.png"/><Relationship Id="rId42" Type="http://schemas.openxmlformats.org/officeDocument/2006/relationships/image" Target="media/d79540030b46caf95e495175798e78a7ca0d8764.png"/><Relationship Id="rId43" Type="http://schemas.openxmlformats.org/officeDocument/2006/relationships/image" Target="media/0cdb75dd019e85ba662157297a18f8c8bb249ec8.png"/><Relationship Id="rId44" Type="http://schemas.openxmlformats.org/officeDocument/2006/relationships/image" Target="media/0313b56555f6e6694a8b82cd3129c662d9ee1bdc.png"/><Relationship Id="rId45" Type="http://schemas.openxmlformats.org/officeDocument/2006/relationships/image" Target="media/6c1752b2b9757432966593cd022d72912a9003f5.png"/><Relationship Id="rId46" Type="http://schemas.openxmlformats.org/officeDocument/2006/relationships/image" Target="media/278f5ee18edf629e5aee60a73fd97c17488cedad.png"/><Relationship Id="rId47" Type="http://schemas.openxmlformats.org/officeDocument/2006/relationships/image" Target="media/c9aef946b02b53b5856ab484cef4540a2063667a.png"/><Relationship Id="rId48" Type="http://schemas.openxmlformats.org/officeDocument/2006/relationships/image" Target="media/f9ccb3c9737e42ecd4898d0b9623079565e55b79.png"/><Relationship Id="rId49" Type="http://schemas.openxmlformats.org/officeDocument/2006/relationships/image" Target="media/4437e6f4d8988a501d77f2d9318241f571ad2a5c.png"/><Relationship Id="rId50" Type="http://schemas.openxmlformats.org/officeDocument/2006/relationships/image" Target="media/6356589e88596aa548f6dde242131ff207a28819.png"/><Relationship Id="rId51" Type="http://schemas.openxmlformats.org/officeDocument/2006/relationships/image" Target="media/659121e8de106d2a25d3b95ded29246d398cc6bd.png"/><Relationship Id="rId52" Type="http://schemas.openxmlformats.org/officeDocument/2006/relationships/image" Target="media/067113d4ed7a35d07cbbfa089cecabc8db7637fe.png"/><Relationship Id="rId53" Type="http://schemas.openxmlformats.org/officeDocument/2006/relationships/image" Target="media/3cdf42ed32972e3e6c1380b24680a14be83dfaaf.png"/><Relationship Id="rId54" Type="http://schemas.openxmlformats.org/officeDocument/2006/relationships/image" Target="media/10708400c9f0cab182f035724ff81b15f9a82977.png"/><Relationship Id="rId55" Type="http://schemas.openxmlformats.org/officeDocument/2006/relationships/image" Target="media/7cd53e11327557e720b969c253c79ffa4d14d516.png"/><Relationship Id="rId56" Type="http://schemas.openxmlformats.org/officeDocument/2006/relationships/image" Target="media/14770a64ae907da43189c206a7dd43b2ea94d925.png"/><Relationship Id="rId57" Type="http://schemas.openxmlformats.org/officeDocument/2006/relationships/image" Target="media/2b847d5052bd78987bfd95211c5ad82fcca1896d.png"/><Relationship Id="rId58" Type="http://schemas.openxmlformats.org/officeDocument/2006/relationships/image" Target="media/67d6951c611af69fb6f4d564a2cdf1fda09f6340.png"/><Relationship Id="rId59" Type="http://schemas.openxmlformats.org/officeDocument/2006/relationships/image" Target="media/d5da21da18b82a9bb41a720d413d5dfcbf54ccff.png"/><Relationship Id="rId60" Type="http://schemas.openxmlformats.org/officeDocument/2006/relationships/image" Target="media/a93544cf1eeabd832c9e9334c49802dd7f9f3b77.png"/><Relationship Id="rId61" Type="http://schemas.openxmlformats.org/officeDocument/2006/relationships/image" Target="media/6857e4c313b4af67e0f5280d5b9a1c818aa4a01f.png"/><Relationship Id="rId62" Type="http://schemas.openxmlformats.org/officeDocument/2006/relationships/image" Target="media/75db175472857498fac3a50892a3a2c6bd7df9e9.png"/><Relationship Id="rId63" Type="http://schemas.openxmlformats.org/officeDocument/2006/relationships/image" Target="media/56fe88911fef75ac4c8514cfe0e08b82cca5a381.png"/><Relationship Id="rId64" Type="http://schemas.openxmlformats.org/officeDocument/2006/relationships/image" Target="media/c03df63be983caa368ff560fb0874c636467b855.png"/><Relationship Id="rId65" Type="http://schemas.openxmlformats.org/officeDocument/2006/relationships/image" Target="media/4d6427c3fe65ca0fff44dc45a84a1960284fc5e1.png"/><Relationship Id="rId66" Type="http://schemas.openxmlformats.org/officeDocument/2006/relationships/image" Target="media/b3bff69812bfd2701e092002d19002a9b6990285.png"/><Relationship Id="rId67" Type="http://schemas.openxmlformats.org/officeDocument/2006/relationships/image" Target="media/999df3563e2065c9ff90747604a50672a2c8c993.png"/><Relationship Id="rId68" Type="http://schemas.openxmlformats.org/officeDocument/2006/relationships/image" Target="media/ed6a3b3fa105b1d39908c139ec2d4841159df080.png"/><Relationship Id="rId69" Type="http://schemas.openxmlformats.org/officeDocument/2006/relationships/image" Target="media/9dcc54e5e82b0e6e58390f2f27115b6c77d6c3ef.png"/><Relationship Id="rId70" Type="http://schemas.openxmlformats.org/officeDocument/2006/relationships/image" Target="media/49703a22930677ecca26e57e3dc9f990f76250ab.png"/><Relationship Id="rId71" Type="http://schemas.openxmlformats.org/officeDocument/2006/relationships/image" Target="media/4b609ba8f81479c60d1755656d2e7add80cddefe.png"/><Relationship Id="rId72" Type="http://schemas.openxmlformats.org/officeDocument/2006/relationships/image" Target="media/2e2007742c95344d6293b38da9792b8944684054.png"/><Relationship Id="rId73" Type="http://schemas.openxmlformats.org/officeDocument/2006/relationships/image" Target="media/9f76419c944e75bc588770e073358687eafddbeb.png"/><Relationship Id="rId74" Type="http://schemas.openxmlformats.org/officeDocument/2006/relationships/image" Target="media/112d94a95be30734559052728a1fea6ea931a734.png"/><Relationship Id="rId75" Type="http://schemas.openxmlformats.org/officeDocument/2006/relationships/image" Target="media/88bec2405382c46fb70bd301a33e6d6b504160ea.png"/><Relationship Id="rId76" Type="http://schemas.openxmlformats.org/officeDocument/2006/relationships/image" Target="media/d645e4701caf7ebdb5f6ec755ef678c061d0bd2c.png"/><Relationship Id="rId77" Type="http://schemas.openxmlformats.org/officeDocument/2006/relationships/image" Target="media/20d511b644c4d636d4d3e158cd46b9526483a5e8.png"/><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GRAIL Collector — Engineering Report</dc:title>
  <dc:creator>GRAIL Collector project</dc:creator>
  <dc:description>Complete technical record</dc:description>
  <cp:lastModifiedBy>Un-named</cp:lastModifiedBy>
  <cp:revision>1</cp:revision>
  <dcterms:created xsi:type="dcterms:W3CDTF">2026-09-26T06:32:30.074Z</dcterms:created>
  <dcterms:modified xsi:type="dcterms:W3CDTF">2026-09-26T06:32:30.074Z</dcterms:modified>
</cp:coreProperties>
</file>

<file path=docProps/custom.xml><?xml version="1.0" encoding="utf-8"?>
<Properties xmlns="http://schemas.openxmlformats.org/officeDocument/2006/custom-properties" xmlns:vt="http://schemas.openxmlformats.org/officeDocument/2006/docPropsVTypes"/>
</file>