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B4F7A"/>
          <w:sz w:val="32"/>
          <w:szCs w:val="32"/>
        </w:rPr>
        <w:t xml:space="preserve">Converging-channel roll-bond absorber with a transparent-insulation stack: conjugate CFD, machine-learning surrogate, optimisation and annual performance of alternating versus parallel flow</w:t>
      </w:r>
    </w:p>
    <w:p>
      <w:pPr>
        <w:spacing w:after="60"/>
        <w:jc w:val="center"/>
      </w:pPr>
      <w:r>
        <w:rPr>
          <w:sz w:val="22"/>
          <w:szCs w:val="22"/>
        </w:rPr>
        <w:t xml:space="preserve">[Author 1]ᵃ, [Author 2]ᵃ, [Supervisor]ᵃ*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ᵃ [Department], [Institution], [City], India</w:t>
      </w:r>
    </w:p>
    <w:p>
      <w:pPr>
        <w:spacing w:after="300"/>
        <w:jc w:val="center"/>
      </w:pPr>
      <w:r>
        <w:rPr>
          <w:color w:val="4A4D52"/>
          <w:sz w:val="18"/>
          <w:szCs w:val="18"/>
        </w:rPr>
        <w:t xml:space="preserve">* Corresponding author: [e-mail]      Draft for: Applied Thermal Engineering (Elsevier) — target to be confirmed</w:t>
      </w:r>
    </w:p>
    <w:p>
      <w:pPr>
        <w:pStyle w:val="Heading2"/>
        <w:keepNext/>
        <w:spacing w:after="120" w:before="280"/>
      </w:pPr>
      <w:r>
        <w:t xml:space="preserve">Abstract</w:t>
      </w:r>
    </w:p>
    <w:p>
      <w:pPr>
        <w:spacing w:after="120" w:before="0" w:line="276" w:lineRule="auto"/>
        <w:jc w:val="both"/>
      </w:pPr>
      <w:r>
        <w:t xml:space="preserve">Roll-bond absorbers integrate the liquid channels in the plate and remove the tube-to-sheet bond, but published designs use parallel channels of constant section and a single glass cover. This work studies a twelve-channel aluminium roll-bond absorber whose channels converge along the flow (outlet-to-inlet hydraulic-diameter ratio G = 0.54) under a glass + honeycomb transparent-insulation (TIM) cover with a phase-change-material and vacuum-insulation rear stack, and compares alternating (counter-current) with parallel flow. Channel hydraulics were resolved by 3-D CFD (OpenFOAM) and the plate–fluid problem by a reduced-order conjugate model (GRAIL-CHT) whose Nusselt closure, 4.48 (GCI 2.1 %), was taken from 3-D conjugate CFD. A 300-case Latin-hypercube campaign showed that alternating flow lowers mean efficiency by 7.3 % (p = 2 × 10⁻⁸) at equal inputs; at matched mean plate temperature the efficiencies are equal (Δη = −0.001 points) and alternating flow is 8–11 % less uniform at the design flow, because about 40 % of the heat a channel absorbs is returned to the plate. An ANN-ensemble surrogate (test R² 0.9994–0.9998, mean error 0.14 %) drove an NSGA-II optimisation whose optima agreed with the full model within 0.13 efficiency points. ISO 9806-form curves gave η0 = 0.637, a1 = 2.10 W m⁻² K⁻¹ (parallel); with the vacuum-insulation conductivity measured inside a hot collector instead of the catalogue value, a1 rises to 2.3–2.5 W m⁻² K⁻¹. Compared with tested roll-bond collectors (η0 ≈ 0.80, a1 ≈ 4.7 W m⁻² K⁻¹) the design trades optical efficiency for a heat-loss coefficient about half as large, and gains above a reduced temperature of about 0.04–0.05 m² K W⁻¹. For Berhampur, India, a 2-module (1.06 m²) system covers 86 % of a 100 L day⁻¹ load at a heat cost of Rs 4.34 kWh⁻¹ against Rs 4.95 kWh⁻¹ for an electric geyser. All results are simulation-based; the modelling method reproduces the measured heat-loss coefficients of a published roll-bond collector within test uncertainty but over-predicts its optical efficiency by 6–8 %, and the modelled front (TIM) heat loss lies within the range measured for honeycomb covers.</w:t>
      </w:r>
    </w:p>
    <w:p>
      <w:pPr>
        <w:spacing w:after="120" w:before="0" w:line="276" w:lineRule="auto"/>
      </w:pPr>
      <w:r>
        <w:rPr>
          <w:b/>
          <w:bCs/>
        </w:rPr>
        <w:t xml:space="preserve">Keywords: </w:t>
      </w:r>
      <w:r>
        <w:t xml:space="preserve">roll-bond absorber; converging channels; transparent insulation; counter-current flow; conjugate heat transfer; surrogate model; NSGA-II; solar water heating</w:t>
      </w:r>
    </w:p>
    <w:p>
      <w:pPr>
        <w:pStyle w:val="Heading2"/>
        <w:keepNext/>
        <w:spacing w:after="120" w:before="280"/>
      </w:pPr>
      <w:r>
        <w:t xml:space="preserve">Highlights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Converging roll-bond absorber under a TIM + PCM + VIP stack studied by 3-D and reduced-order conjugate CFD.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At matched plate temperature, alternating and parallel flow give the same efficiency; alternating is less uniform at design flow.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ANN surrogate + NSGA-II optima verified in the full model within 0.13 efficiency points.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Heat-loss coefficient 2.1–2.5 W m⁻² K⁻¹, about half that of tested roll-bond collectors.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2-module system: 86 % solar fraction and cheaper heat than an electric geyser in Odisha, India.</w:t>
      </w:r>
    </w:p>
    <w:p>
      <w:pPr>
        <w:pStyle w:val="Heading1"/>
        <w:keepNext/>
        <w:spacing w:after="160" w:before="360"/>
      </w:pPr>
      <w:r>
        <w:t xml:space="preserve">1. Introduction</w:t>
      </w:r>
    </w:p>
    <w:p>
      <w:pPr>
        <w:spacing w:after="120" w:before="0" w:line="276" w:lineRule="auto"/>
        <w:jc w:val="both"/>
      </w:pPr>
      <w:r>
        <w:t xml:space="preserve">Flat-plate collectors dominate domestic solar water heating, and their performance is set by two groups of quantities: the optical efficiency, which depends on the cover and absorber, and the heat-loss coefficient, which depends on the cover, the rear insulation and the absorber temperature. Improving one usually costs the other.</w:t>
      </w:r>
    </w:p>
    <w:p>
      <w:pPr>
        <w:spacing w:after="120" w:before="0" w:line="276" w:lineRule="auto"/>
        <w:jc w:val="both"/>
      </w:pPr>
      <w:r>
        <w:t xml:space="preserve">Roll-bond absorbers remove the tube-to-sheet bond by inflating the channels inside the plate. Del Col et al. [1] tested roll-bond and sheet-and-tube collectors to EN 12975-2 and found higher efficiency for the roll-bond design (η0 = 0.80, a1 = 4.7 W m⁻² K⁻¹ with black coating). Minichannel absorbers follow the same logic: Khamis Mansour [2] reported a heat-removal factor of 0.96 against 0.83 for a conventional collector, and Vahidinia and Khorasanizadeh [3] found 13.8 % higher energy efficiency, largest at low flow and high inlet temperature. Channel layout matters: Zareie et al. [4] showed with CFD and a solar-simulator experiment that branch-inspired roll-bond channels raise PVT thermal efficiency to 61.9 %.</w:t>
      </w:r>
    </w:p>
    <w:p>
      <w:pPr>
        <w:spacing w:after="120" w:before="0" w:line="276" w:lineRule="auto"/>
        <w:jc w:val="both"/>
      </w:pPr>
      <w:r>
        <w:t xml:space="preserve">Varying the channel section along or across the flow is established in micro-channel cooling. Ding et al. [5] showed experimentally that narrowing the intermediate channels evens out flow and temperature, and Li et al. [6] combined a tapered manifold with variable channel sections, optimised by a surrogate model and NSGA-II, reducing the substrate temperature difference from 17.5 K to 3.5 K. In solar absorbers, a converging channel raises the local heat-transfer coefficient where the fluid is hottest, but its effect on a whole collector has not been reported.</w:t>
      </w:r>
    </w:p>
    <w:p>
      <w:pPr>
        <w:spacing w:after="120" w:before="0" w:line="276" w:lineRule="auto"/>
        <w:jc w:val="both"/>
      </w:pPr>
      <w:r>
        <w:t xml:space="preserve">Heat loss can be reduced by transparent insulation. Zheng et al. [7] built a collector with honeycomb and silica-aerogel layers reaching 55 % efficiency at a reduced temperature of 0.08 m² K W⁻¹, and Parthiban et al. [8] simulated a honeycomb-TIM collector over a year in an oceanic climate. Phase-change material behind the absorber stores heat for the evening; Bharathiraja et al. [9] measured a collector efficiency increase from 64.7 % to 71.7 % with a nano-enhanced PCM. Surrogate modelling is increasingly used for collector design: Sakib et al. [10] trained neural networks on 1,000 CFD runs and optimised with NSGA-II, and Alawi et al. [11] trained machine-learning models on 504 experimental points.</w:t>
      </w:r>
    </w:p>
    <w:p>
      <w:pPr>
        <w:spacing w:after="120" w:before="0" w:line="276" w:lineRule="auto"/>
        <w:jc w:val="both"/>
      </w:pPr>
      <w:r>
        <w:t xml:space="preserve">Three gaps remain. (i) No study combines a converging-channel roll-bond absorber with a TIM cover and a PCM/vacuum rear stack. (ii) The effect of alternating (counter-current) flow in neighbouring channels on efficiency and plate uniformity has not been separated from the effect of plate temperature. (iii) Surrogate-based optimisations are rarely checked against the full model at the optimum, and rarely carried through to annual yield and cost for a specific site. This work addresses all three for a 0.528 m² module in Berhampur, Odisha, India.</w:t>
      </w:r>
    </w:p>
    <w:p>
      <w:pPr>
        <w:pStyle w:val="Heading1"/>
        <w:keepNext/>
        <w:spacing w:after="160" w:before="360"/>
      </w:pPr>
      <w:r>
        <w:t xml:space="preserve">2. Collector and methods</w:t>
      </w:r>
    </w:p>
    <w:p>
      <w:pPr>
        <w:pStyle w:val="Heading2"/>
        <w:keepNext/>
        <w:spacing w:after="120" w:before="280"/>
      </w:pPr>
      <w:r>
        <w:t xml:space="preserve">2.1 Collector</w:t>
      </w:r>
    </w:p>
    <w:p>
      <w:pPr>
        <w:spacing w:after="120" w:before="0" w:line="276" w:lineRule="auto"/>
        <w:jc w:val="both"/>
      </w:pPr>
      <w:r>
        <w:t xml:space="preserve">The absorber is a 1.10 m × 0.48 m aluminium roll-bond plate (0.528 m²) with twelve channels at 40 mm pitch. Each channel converges linearly from inlet to outlet (G = D_h,out/D_h,in = 0.539935, grading exponent λ = 1.0); the as-built bridge width between channels is 31.29 mm. The cover is glass over a honeycomb TIM (system transmittance 0.833 × 0.82) on an absorber of absorptance 0.95, giving an optical factor of 0.649. The rear is a PCM layer (sensible heat only in this work) on a vacuum insulation panel. In the alternating arrangement neighbouring channels flow in opposite directions; in the parallel arrangement all flow the same way.</w:t>
      </w:r>
    </w:p>
    <w:p>
      <w:pPr>
        <w:pStyle w:val="Heading2"/>
        <w:keepNext/>
        <w:spacing w:after="120" w:before="280"/>
      </w:pPr>
      <w:r>
        <w:t xml:space="preserve">2.2 3-D CFD and Nusselt closure</w:t>
      </w:r>
    </w:p>
    <w:p>
      <w:pPr>
        <w:spacing w:after="120" w:before="0" w:line="276" w:lineRule="auto"/>
        <w:jc w:val="both"/>
      </w:pPr>
      <w:r>
        <w:t xml:space="preserve">The channel flow was solved in 3-D with OpenFOAM (simpleFoam) on structured hexahedral meshes generated directly from the CAD surfaces, and conjugate heat transfer with chtMultiRegionSimpleFoam on a frozen, separately converged flow field for a periodic two-channel strip. Three axial and three cross-section grids give a fully developed Nusselt number of 4.48 with a grid-convergence index of 2.1 % [12], consistent with the H1 value for a semicircular duct [13].</w:t>
      </w:r>
    </w:p>
    <w:p>
      <w:pPr>
        <w:spacing w:after="40" w:before="160"/>
        <w:jc w:val="center"/>
      </w:pPr>
      <w:r>
        <w:drawing>
          <wp:inline distT="0" distB="0" distL="0" distR="0">
            <wp:extent cx="459105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Fig. 1. Axial grid study of the 3-D conjugate solution.</w:t>
      </w:r>
    </w:p>
    <w:p>
      <w:pPr>
        <w:pStyle w:val="Heading2"/>
        <w:keepNext/>
        <w:spacing w:after="120" w:before="280"/>
      </w:pPr>
      <w:r>
        <w:t xml:space="preserve">2.3 Reduced-order conjugate model (GRAIL-CHT)</w:t>
      </w:r>
    </w:p>
    <w:p>
      <w:pPr>
        <w:spacing w:after="120" w:before="0" w:line="276" w:lineRule="auto"/>
        <w:jc w:val="both"/>
      </w:pPr>
      <w:r>
        <w:t xml:space="preserve">The full plate was solved by a finite-volume conduction model of the plate coupled to a 1-D marching energy balance in each graded channel (h = Nu k/D_h), with a top loss through glass and TIM including sky radiation (T⁴, SI units), a rear loss through PCM and VIP, a temperature-dependent aluminium conductivity and a periodic lateral boundary. Results are Richardson-extrapolated from plate grids nx = 110 and 220. Against the 3-D conjugate benchmark the model reproduces the co-current plate-temperature spread within 0.6 %.</w:t>
      </w:r>
    </w:p>
    <w:p>
      <w:pPr>
        <w:pStyle w:val="Heading2"/>
        <w:keepNext/>
        <w:spacing w:after="120" w:before="280"/>
      </w:pPr>
      <w:r>
        <w:t xml:space="preserve">2.4 Campaign, surrogate and optimisation</w:t>
      </w:r>
    </w:p>
    <w:p>
      <w:pPr>
        <w:spacing w:after="120" w:before="0" w:line="276" w:lineRule="auto"/>
        <w:jc w:val="both"/>
      </w:pPr>
      <w:r>
        <w:t xml:space="preserve">A 300-case Latin-hypercube campaign (150 alternating, 150 parallel, independent groups) sampled G_T 400–1000 W m⁻², T_in 288–333 K, T_amb 283–313 K, wind 0–5 m s⁻¹, total flow 1.0–4.5 g s⁻¹, bridge 20–37 mm, G 0.35–1.0 and λ 0.5–2.0 (Re_in 22–151, laminar). Every case converged with an energy error below 0.5 %; no case was removed. Ensembles of ten multilayer perceptrons (5-fold cross-validated architecture) were trained on 240 cases and tested on 60 unseen cases for efficiency, plate standard deviation, pressure drop and mean plate temperature, with a Gaussian-process regression as benchmark and SHAP [14] for interpretation. NSGA-II [15] (population 200, 250 generations) maximised efficiency and minimised plate standard deviation and pumping power over flow, bridge, G and λ for each arrangement, and eight selected optima were re-run in GRAIL-CHT.</w:t>
      </w:r>
    </w:p>
    <w:p>
      <w:pPr>
        <w:pStyle w:val="Heading2"/>
        <w:keepNext/>
        <w:spacing w:after="120" w:before="280"/>
      </w:pPr>
      <w:r>
        <w:t xml:space="preserve">2.5 Efficiency curves, system and annual model</w:t>
      </w:r>
    </w:p>
    <w:p>
      <w:pPr>
        <w:spacing w:after="120" w:before="0" w:line="276" w:lineRule="auto"/>
        <w:jc w:val="both"/>
      </w:pPr>
      <w:r>
        <w:t xml:space="preserve">A virtual steady-state test of the as-built module at 2.75 g s⁻¹ (22 GRAIL-CHT points: G 500 and 900 W m⁻², four inlet temperatures, plus three held-out points) was fitted to the ISO 9806 form q = η0 G − a1 ΔT − a2 ΔT² on the mean fluid temperature [16]. The curves drive a dynamic model: one collector node (effective capacity 33.5 kJ m⁻² K⁻¹), a fully mixed 100 kg tank (UA 1.5 W K⁻¹), a differential pump controller (on 7 K, off 2 K, disabled above 358 K) and a 100 L day⁻¹ draw at 45 °C through a mixing valve with electric top-up, solved at 60 s steps. Weather is the PVGIS TMY 2005–2023 for Berhampur (19.31° N, 84.81° E) [17], transposed to a 19.3° south-facing plane with the Hay–Davies model [18]. The model was implemented independently in Python, GNU Octave and a Scilab Xcos block diagram, which agree within 0.04 %; a MATLAB/Simulink implementation reproduces the Xcos annual solar heat within 0.05 % for all four cases, with the tank energy balance closing to 10⁻¹⁰ kWh.</w:t>
      </w:r>
    </w:p>
    <w:p>
      <w:pPr>
        <w:pStyle w:val="Heading2"/>
        <w:keepNext/>
        <w:spacing w:after="120" w:before="280"/>
      </w:pPr>
      <w:r>
        <w:t xml:space="preserve">2.6 Verification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Hottel–Whillier–Bliss (HWB) model [19] against GRAIL-CHT, with U_L taken from the solver (not fitted): +0.22 % (co-current).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Energy closure of every campaign case below 0.5 %; tank first law closes to 10⁻¹¹ kWh over a year.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Method check on a tested collector: the HWB fin model with Klein's top-loss correlation, applied without tuning to the two roll-bond collectors of Del Col et al. [1], reproduces the measured a1 and a2 within their 95 % test uncertainty but over-predicts η0 by 0.045–0.06 (6–8 %), attributed to optical losses (frame shading, soiling, absorptance) not described in the ideal model.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Component check against measured insulation data (Beikircher et al. [20]): the modelled front loss of the glass + TIM cover, 1.95–2.06 W m⁻² K⁻¹ for a plate 20–80 K above ambient, lies within the 1.95–2.2 W m⁻² K⁻¹ measured for honeycomb covers. The rear loss is optimistic: the catalogue VIP conductivity (0.006 W m⁻¹ K⁻¹) is 1.7–3 times lower than values measured inside a collector at 70–120 °C (0.010–0.018 W m⁻¹ K⁻¹), which would raise a1 by 0.16–0.42 W m⁻² K⁻¹. The reported results keep the catalogue value; the range is carried as an uncertainty.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No experimental data for the present collector exist; no experimental validation is claimed.</w:t>
      </w:r>
    </w:p>
    <w:p>
      <w:pPr>
        <w:pStyle w:val="Heading1"/>
        <w:keepNext/>
        <w:spacing w:after="160" w:before="360"/>
      </w:pPr>
      <w:r>
        <w:t xml:space="preserve">3. Results and discussion</w:t>
      </w:r>
    </w:p>
    <w:p>
      <w:pPr>
        <w:pStyle w:val="Heading2"/>
        <w:keepNext/>
        <w:spacing w:after="120" w:before="280"/>
      </w:pPr>
      <w:r>
        <w:t xml:space="preserve">3.1 Alternating versus parallel flow</w:t>
      </w:r>
    </w:p>
    <w:p>
      <w:pPr>
        <w:spacing w:after="120" w:before="0" w:line="276" w:lineRule="auto"/>
        <w:jc w:val="both"/>
      </w:pPr>
      <w:r>
        <w:t xml:space="preserve">At equal inputs, alternating flow lowered mean efficiency by 7.3 % relative (p = 2 × 10⁻⁸) and raised the mean plate temperature by 13.9 K. Its effect on plate uniformity depended on flow: the median plate standard deviation was 13.4 % lower above 3.3 g s⁻¹ and 16.8 % higher below 2.2 g s⁻¹, and not significant overall (−1.1 %). The 3-D solutions explain the penalty: counter-flowing channels exchange heat through the plate and about 40 % of the heat a channel absorbs (9.94 of 24.80 W) is returned to the plate upstream.</w:t>
      </w:r>
    </w:p>
    <w:p>
      <w:pPr>
        <w:spacing w:after="40" w:before="160"/>
        <w:jc w:val="center"/>
      </w:pPr>
      <w:r>
        <w:drawing>
          <wp:inline distT="0" distB="0" distL="0" distR="0">
            <wp:extent cx="5210175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Fig. 2. Arrangement effect on efficiency and plate uniformity by flow rate (campaign, independent groups).</w:t>
      </w:r>
    </w:p>
    <w:p>
      <w:pPr>
        <w:spacing w:after="120" w:before="0" w:line="276" w:lineRule="auto"/>
        <w:jc w:val="both"/>
      </w:pPr>
      <w:r>
        <w:t xml:space="preserve">To separate the arrangement from the plate temperature, both arrangements were solved at matched mean plate temperatures of 320, 330 and 340 K (Table 1). The efficiencies are then equal, the radiative moment R4 is not reduced, and alternating flow is 8–11 % less uniform at the design flow; it needs an inlet about 15 K cooler to reach the same plate temperature. The efficiency penalty at equal inputs is therefore a plate-temperature effect, and a claim for alternating flow can rest only on uniformity at high flow.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1277"/>
        <w:gridCol w:w="2206"/>
        <w:gridCol w:w="1858"/>
        <w:gridCol w:w="1277"/>
        <w:gridCol w:w="1045"/>
        <w:gridCol w:w="1975"/>
      </w:tblGrid>
      <w:tr>
        <w:trPr>
          <w:cantSplit/>
          <w:tblHeader/>
        </w:trPr>
        <w:tc>
          <w:tcPr>
            <w:tcW w:type="dxa" w:w="1277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Plate mean</w:t>
            </w:r>
          </w:p>
        </w:tc>
        <w:tc>
          <w:tcPr>
            <w:tcW w:type="dxa" w:w="220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Inlet needed alt / par (K)</w:t>
            </w:r>
          </w:p>
        </w:tc>
        <w:tc>
          <w:tcPr>
            <w:tcW w:type="dxa" w:w="185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η alt / par</w:t>
            </w:r>
          </w:p>
        </w:tc>
        <w:tc>
          <w:tcPr>
            <w:tcW w:type="dxa" w:w="1277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Δη (points)</w:t>
            </w:r>
          </w:p>
        </w:tc>
        <w:tc>
          <w:tcPr>
            <w:tcW w:type="dxa" w:w="1045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ΔR4</w:t>
            </w:r>
          </w:p>
        </w:tc>
        <w:tc>
          <w:tcPr>
            <w:tcW w:type="dxa" w:w="1975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Plate std alt / par (K)</w:t>
            </w:r>
          </w:p>
        </w:tc>
      </w:tr>
      <w:tr>
        <w:trPr>
          <w:cantSplit/>
          <w:tblHeader w:val="false"/>
        </w:trPr>
        <w:tc>
          <w:tcPr>
            <w:tcW w:type="dxa" w:w="1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320 K</w:t>
            </w:r>
          </w:p>
        </w:tc>
        <w:tc>
          <w:tcPr>
            <w:tcW w:type="dxa" w:w="22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291.3 / 306.7</w:t>
            </w:r>
          </w:p>
        </w:tc>
        <w:tc>
          <w:tcPr>
            <w:tcW w:type="dxa" w:w="18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0.5989 / 0.5989</w:t>
            </w:r>
          </w:p>
        </w:tc>
        <w:tc>
          <w:tcPr>
            <w:tcW w:type="dxa" w:w="1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−0.001</w:t>
            </w:r>
          </w:p>
        </w:tc>
        <w:tc>
          <w:tcPr>
            <w:tcW w:type="dxa" w:w="1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+0.04 %</w:t>
            </w:r>
          </w:p>
        </w:tc>
        <w:tc>
          <w:tcPr>
            <w:tcW w:type="dxa" w:w="19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6.68 / 6.17</w:t>
            </w:r>
          </w:p>
        </w:tc>
      </w:tr>
      <w:tr>
        <w:trPr>
          <w:cantSplit/>
          <w:tblHeader w:val="false"/>
        </w:trPr>
        <w:tc>
          <w:tcPr>
            <w:tcW w:type="dxa" w:w="127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330 K</w:t>
            </w:r>
          </w:p>
        </w:tc>
        <w:tc>
          <w:tcPr>
            <w:tcW w:type="dxa" w:w="2206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302.4 / 317.3</w:t>
            </w:r>
          </w:p>
        </w:tc>
        <w:tc>
          <w:tcPr>
            <w:tcW w:type="dxa" w:w="185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0.5725 / 0.5725</w:t>
            </w:r>
          </w:p>
        </w:tc>
        <w:tc>
          <w:tcPr>
            <w:tcW w:type="dxa" w:w="127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−0.001</w:t>
            </w:r>
          </w:p>
        </w:tc>
        <w:tc>
          <w:tcPr>
            <w:tcW w:type="dxa" w:w="104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+0.04 %</w:t>
            </w:r>
          </w:p>
        </w:tc>
        <w:tc>
          <w:tcPr>
            <w:tcW w:type="dxa" w:w="197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6.49 / 5.90</w:t>
            </w:r>
          </w:p>
        </w:tc>
      </w:tr>
      <w:tr>
        <w:trPr>
          <w:cantSplit/>
          <w:tblHeader w:val="false"/>
        </w:trPr>
        <w:tc>
          <w:tcPr>
            <w:tcW w:type="dxa" w:w="1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340 K</w:t>
            </w:r>
          </w:p>
        </w:tc>
        <w:tc>
          <w:tcPr>
            <w:tcW w:type="dxa" w:w="22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313.5 / 328.0</w:t>
            </w:r>
          </w:p>
        </w:tc>
        <w:tc>
          <w:tcPr>
            <w:tcW w:type="dxa" w:w="18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0.5457 / 0.5457</w:t>
            </w:r>
          </w:p>
        </w:tc>
        <w:tc>
          <w:tcPr>
            <w:tcW w:type="dxa" w:w="1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−0.001</w:t>
            </w:r>
          </w:p>
        </w:tc>
        <w:tc>
          <w:tcPr>
            <w:tcW w:type="dxa" w:w="1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+0.04 %</w:t>
            </w:r>
          </w:p>
        </w:tc>
        <w:tc>
          <w:tcPr>
            <w:tcW w:type="dxa" w:w="19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6.26 / 5.63</w:t>
            </w:r>
          </w:p>
        </w:tc>
      </w:tr>
    </w:tbl>
    <w:p>
      <w:pPr>
        <w:keepNext/>
        <w:spacing w:after="60" w:before="120"/>
      </w:pPr>
      <w:r>
        <w:rPr>
          <w:i/>
          <w:iCs/>
          <w:color w:val="4A4D52"/>
          <w:sz w:val="17"/>
          <w:szCs w:val="17"/>
        </w:rPr>
        <w:t xml:space="preserve">Table 1. Matched mean plate temperature, as-built geometry, 2.75 g s⁻¹, G = 800 W m⁻², T_amb = 303.15 K.</w:t>
      </w:r>
    </w:p>
    <w:p>
      <w:pPr>
        <w:pStyle w:val="Heading2"/>
        <w:keepNext/>
        <w:spacing w:after="120" w:before="280"/>
      </w:pPr>
      <w:r>
        <w:t xml:space="preserve">3.2 Surrogate and optimisation</w:t>
      </w:r>
    </w:p>
    <w:p>
      <w:pPr>
        <w:spacing w:after="120" w:before="0" w:line="276" w:lineRule="auto"/>
        <w:jc w:val="both"/>
      </w:pPr>
      <w:r>
        <w:t xml:space="preserve">The ANN ensemble predicted efficiency on the 60 unseen cases with R² 0.9994–0.9998 for single networks and a mean absolute error of 0.14 %; a Gaussian process was slightly more accurate, and a linear model reached only R² 0.89. SHAP ranks inlet temperature, ambient temperature, flow and arrangement as the drivers of efficiency, while flow and irradiance drive plate uniformity and G and flow drive pressure drop. The eight NSGA-II optima re-run in GRAIL-CHT agreed within 0.13 efficiency points, 2.4 % in plate standard deviation and 5.8 % in pressure drop. The optimum lies at the upper flow bound with G approaching 1; at maximum flow the converging channel therefore serves plate uniformity rather than efficiency.</w:t>
      </w:r>
    </w:p>
    <w:p>
      <w:pPr>
        <w:spacing w:after="40" w:before="160"/>
        <w:jc w:val="center"/>
      </w:pPr>
      <w:r>
        <w:drawing>
          <wp:inline distT="0" distB="0" distL="0" distR="0">
            <wp:extent cx="5210175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Fig. 3. ANN-ensemble parity on the 60 held-out cases.</w:t>
      </w:r>
    </w:p>
    <w:p>
      <w:pPr>
        <w:spacing w:after="40" w:before="160"/>
        <w:jc w:val="center"/>
      </w:pPr>
      <w:r>
        <w:drawing>
          <wp:inline distT="0" distB="0" distL="0" distR="0">
            <wp:extent cx="5210175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Fig. 4. NSGA-II Pareto fronts for both arrangements with GRAIL-CHT verification points.</w:t>
      </w:r>
    </w:p>
    <w:p>
      <w:pPr>
        <w:pStyle w:val="Heading2"/>
        <w:keepNext/>
        <w:spacing w:after="120" w:before="280"/>
      </w:pPr>
      <w:r>
        <w:t xml:space="preserve">3.3 Efficiency curves and comparison with tested roll-bond collectors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2435"/>
        <w:gridCol w:w="1319"/>
        <w:gridCol w:w="1623"/>
        <w:gridCol w:w="1623"/>
        <w:gridCol w:w="2638"/>
      </w:tblGrid>
      <w:tr>
        <w:trPr>
          <w:cantSplit/>
          <w:tblHeader/>
        </w:trPr>
        <w:tc>
          <w:tcPr>
            <w:tcW w:type="dxa" w:w="2435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Collector</w:t>
            </w:r>
          </w:p>
        </w:tc>
        <w:tc>
          <w:tcPr>
            <w:tcW w:type="dxa" w:w="1319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η0</w:t>
            </w:r>
          </w:p>
        </w:tc>
        <w:tc>
          <w:tcPr>
            <w:tcW w:type="dxa" w:w="1623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a1 (W m⁻² K⁻¹)</w:t>
            </w:r>
          </w:p>
        </w:tc>
        <w:tc>
          <w:tcPr>
            <w:tcW w:type="dxa" w:w="1623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a2 (W m⁻² K⁻²)</w:t>
            </w:r>
          </w:p>
        </w:tc>
        <w:tc>
          <w:tcPr>
            <w:tcW w:type="dxa" w:w="263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  <w:tblHeader w:val="false"/>
        </w:trPr>
        <w:tc>
          <w:tcPr>
            <w:tcW w:type="dxa" w:w="24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This work, parallel</w:t>
            </w:r>
          </w:p>
        </w:tc>
        <w:tc>
          <w:tcPr>
            <w:tcW w:type="dxa" w:w="1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0.637</w:t>
            </w:r>
          </w:p>
        </w:tc>
        <w:tc>
          <w:tcPr>
            <w:tcW w:type="dxa" w:w="16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2.10</w:t>
            </w:r>
          </w:p>
        </w:tc>
        <w:tc>
          <w:tcPr>
            <w:tcW w:type="dxa" w:w="16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model (22 GRAIL-CHT points)</w:t>
            </w:r>
          </w:p>
        </w:tc>
      </w:tr>
      <w:tr>
        <w:trPr>
          <w:cantSplit/>
          <w:tblHeader w:val="false"/>
        </w:trPr>
        <w:tc>
          <w:tcPr>
            <w:tcW w:type="dxa" w:w="24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This work, alternating</w:t>
            </w:r>
          </w:p>
        </w:tc>
        <w:tc>
          <w:tcPr>
            <w:tcW w:type="dxa" w:w="131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0.597</w:t>
            </w:r>
          </w:p>
        </w:tc>
        <w:tc>
          <w:tcPr>
            <w:tcW w:type="dxa" w:w="1623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2.00</w:t>
            </w:r>
          </w:p>
        </w:tc>
        <w:tc>
          <w:tcPr>
            <w:tcW w:type="dxa" w:w="1623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0.0004</w:t>
            </w:r>
          </w:p>
        </w:tc>
        <w:tc>
          <w:tcPr>
            <w:tcW w:type="dxa" w:w="263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model</w:t>
            </w:r>
          </w:p>
        </w:tc>
      </w:tr>
      <w:tr>
        <w:trPr>
          <w:cantSplit/>
          <w:tblHeader w:val="false"/>
        </w:trPr>
        <w:tc>
          <w:tcPr>
            <w:tcW w:type="dxa" w:w="24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Roll-bond, black coating</w:t>
            </w:r>
          </w:p>
        </w:tc>
        <w:tc>
          <w:tcPr>
            <w:tcW w:type="dxa" w:w="1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0.800 ± 0.011</w:t>
            </w:r>
          </w:p>
        </w:tc>
        <w:tc>
          <w:tcPr>
            <w:tcW w:type="dxa" w:w="16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4.69 ± 0.79</w:t>
            </w:r>
          </w:p>
        </w:tc>
        <w:tc>
          <w:tcPr>
            <w:tcW w:type="dxa" w:w="16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0.029 ± 0.012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measured, EN 12975 [1]</w:t>
            </w:r>
          </w:p>
        </w:tc>
      </w:tr>
      <w:tr>
        <w:trPr>
          <w:cantSplit/>
          <w:tblHeader w:val="false"/>
        </w:trPr>
        <w:tc>
          <w:tcPr>
            <w:tcW w:type="dxa" w:w="243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Roll-bond, semi-selective</w:t>
            </w:r>
          </w:p>
        </w:tc>
        <w:tc>
          <w:tcPr>
            <w:tcW w:type="dxa" w:w="131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0.741 ± 0.011</w:t>
            </w:r>
          </w:p>
        </w:tc>
        <w:tc>
          <w:tcPr>
            <w:tcW w:type="dxa" w:w="1623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4.55 ± 0.69</w:t>
            </w:r>
          </w:p>
        </w:tc>
        <w:tc>
          <w:tcPr>
            <w:tcW w:type="dxa" w:w="1623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0.013 ± 0.010</w:t>
            </w:r>
          </w:p>
        </w:tc>
        <w:tc>
          <w:tcPr>
            <w:tcW w:type="dxa" w:w="263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measured, EN 12975 [1]</w:t>
            </w:r>
          </w:p>
        </w:tc>
      </w:tr>
    </w:tbl>
    <w:p>
      <w:pPr>
        <w:keepNext/>
        <w:spacing w:after="60" w:before="120"/>
      </w:pPr>
      <w:r>
        <w:rPr>
          <w:i/>
          <w:iCs/>
          <w:color w:val="4A4D52"/>
          <w:sz w:val="17"/>
          <w:szCs w:val="17"/>
        </w:rPr>
        <w:t xml:space="preserve">Table 2. Steady-state efficiency coefficients (mean-fluid-temperature basis, G = 1000 W m⁻²).</w:t>
      </w:r>
    </w:p>
    <w:p>
      <w:pPr>
        <w:spacing w:after="120" w:before="0" w:line="276" w:lineRule="auto"/>
        <w:jc w:val="both"/>
      </w:pPr>
      <w:r>
        <w:t xml:space="preserve">Held-out points were within 0.24 efficiency points of the fit, and wind changed efficiency by less than 0.3 points. The TIM + VIP stack costs 0.10–0.20 in optical efficiency against a single-glazed roll-bond collector but halves the heat-loss coefficient, so the curves cross at a reduced temperature of 0.036–0.050 m² K W⁻¹ (about 36–50 K above ambient at 1000 W m⁻²), above which the present design is better. The crossover lies at the upper edge of the fitted range (T_m − T_a ≤ 40 K), and in view of the method check (Section 2.6) the optical efficiency carries an uncertainty of up to about 7 %. With the measured in-collector VIP conductivity (Section 2.6) a1 becomes 2.3–2.5 W m⁻² K⁻¹, still about half that of the tested roll-bond collectors, and the crossover moves only to 0.037–0.046 m² K W⁻¹.</w:t>
      </w:r>
    </w:p>
    <w:p>
      <w:pPr>
        <w:spacing w:after="40" w:before="160"/>
        <w:jc w:val="center"/>
      </w:pPr>
      <w:r>
        <w:drawing>
          <wp:inline distT="0" distB="0" distL="0" distR="0">
            <wp:extent cx="489585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Fig. 5. Efficiency curves of the module for both arrangements.</w:t>
      </w:r>
    </w:p>
    <w:p>
      <w:pPr>
        <w:pStyle w:val="Heading2"/>
        <w:keepNext/>
        <w:spacing w:after="120" w:before="280"/>
      </w:pPr>
      <w:r>
        <w:t xml:space="preserve">3.4 Annual performance and economics, Berhampur</w:t>
      </w:r>
    </w:p>
    <w:p>
      <w:pPr>
        <w:spacing w:after="120" w:before="0" w:line="276" w:lineRule="auto"/>
        <w:jc w:val="both"/>
      </w:pPr>
      <w:r>
        <w:t xml:space="preserve">The plane receives 1,976 kWh m⁻² yr⁻¹ (the processing agrees with an independent PVGIS report within 1.5 %). At a constant 40 °C inlet the module yields 1,030 (parallel) and 965 (alternating) kWh m⁻² yr⁻¹. For the 100 L day⁻¹ load, two modules (1.06 m²) give the lowest cost of heat: solar fractions of 86 % (parallel) and 83 % (alternating), a levelised cost of heat of Rs 4.34 and 4.49 kWh⁻¹ against Rs 4.95 kWh⁻¹ for an electric geyser at the TPSODL domestic tariff of Rs 4.70 kWh⁻¹, and a simple payback of 7.4 and 7.6 years (capital cost an engineering assumption, 15-year life, 8 % discount rate). Four modules stagnate above 420 K and would need overheat protection.</w:t>
      </w:r>
    </w:p>
    <w:p>
      <w:pPr>
        <w:spacing w:after="40" w:before="160"/>
        <w:jc w:val="center"/>
      </w:pPr>
      <w:r>
        <w:drawing>
          <wp:inline distT="0" distB="0" distL="0" distR="0">
            <wp:extent cx="5819775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4D52"/>
          <w:sz w:val="17"/>
          <w:szCs w:val="17"/>
        </w:rPr>
        <w:t xml:space="preserve">Fig. 6. Monthly yield, sizing and cost of heat, Berhampur.</w:t>
      </w:r>
    </w:p>
    <w:p>
      <w:pPr>
        <w:pStyle w:val="Heading1"/>
        <w:keepNext/>
        <w:spacing w:after="160" w:before="360"/>
      </w:pPr>
      <w:r>
        <w:t xml:space="preserve">4. Limitations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Simulation only: no measurement of the present collector exists. The modelling method reproduces measured heat-loss coefficients of a published roll-bond collector but over-predicts its optical efficiency by 6–8 %.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Rear-side loss uses a catalogue VIP conductivity; measured in-collector values would raise a1 from 2.1 to 2.3–2.5 W m⁻² K⁻¹ [20].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PCM latent heat, 3-D radiation/optics and manifold flow distribution were not modelled; manifold dimensions are not yet fixed.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The annual model uses a single collector node and a fully mixed tank; capital costs are assumptions.</w:t>
      </w:r>
    </w:p>
    <w:p>
      <w:pPr>
        <w:pStyle w:val="Heading1"/>
        <w:keepNext/>
        <w:spacing w:after="160" w:before="360"/>
      </w:pPr>
      <w:r>
        <w:t xml:space="preserve">5. Conclusions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At equal inputs alternating flow lowers efficiency by 7.3 %; at matched plate temperature the arrangements have equal efficiency and alternating flow is 8–11 % less uniform at design flow. The penalty is caused by heat returned to the plate (≈ 40 %), not by extra radiative loss.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An ANN surrogate trained on 240 conjugate-CFD cases (test R² ≥ 0.9994) supports a verified NSGA-II optimisation; at the optimum the converging channel serves uniformity rather than efficiency.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The TIM + VIP stack gives a heat-loss coefficient of about 2.1 W m⁻² K⁻¹ (up to 2.5 with measured VIP conductivity), about half that of tested roll-bond collectors, and outperforms them above ≈ 0.04–0.05 m² K W⁻¹.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In Berhampur a 2-module system covers 83–86 % of a 100 L day⁻¹ load and delivers heat cheaper than an electric geyser, with a payback of about 7.5 years.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Experimental testing of a prototype, including optical losses and PCM latent storage, is the next step.</w:t>
      </w:r>
    </w:p>
    <w:p>
      <w:pPr>
        <w:pStyle w:val="Heading2"/>
        <w:keepNext/>
        <w:spacing w:after="120" w:before="280"/>
      </w:pPr>
      <w:r>
        <w:t xml:space="preserve">Data availability</w:t>
      </w:r>
    </w:p>
    <w:p>
      <w:pPr>
        <w:spacing w:after="120" w:before="0" w:line="276" w:lineRule="auto"/>
      </w:pPr>
      <w:r>
        <w:t xml:space="preserve">The 300-case dataset, all scripts and the system models (Python, GNU Octave, Scilab Xcos, MATLAB/Simulink build code) are available from the authors.</w:t>
      </w:r>
    </w:p>
    <w:p>
      <w:pPr>
        <w:pStyle w:val="Heading1"/>
        <w:keepNext/>
        <w:spacing w:after="160" w:before="360"/>
      </w:pPr>
      <w:r>
        <w:t xml:space="preserve">References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[1] D. Del Col, A. Padovan, M. Bortolato, M. Dai Prè, E. Zambolin, Thermal performance of flat plate solar collectors with sheet-and-tube and roll-bond absorbers, Energy 58 (2013) 258–269.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[2] M. Khamis Mansour, Thermal analysis of novel minichannel-based solar flat-plate collector, Energy 60 (2013) 333–343. https://doi.org/10.1016/j.energy.2013.08.013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[3] F. Vahidinia, H. Khorasanizadeh, Comparative energy, exergy and entropy generation study of a minichannel and a conventional solar flat plat collectors, Energy 304 (2024) 132232.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[4] Z. Zareie, R. Ahmadi, M. Asadi, A comprehensive numerical investigation of a branch-inspired channel in roll-bond type PVT system using design of experiments approach, Energy 286 (2024) 129452.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[5] Y. Ding, M. Liu, Q. Jin, Experimental and numerical investigation of the influence of varying micro-channel width on flow and heat transfer uniformity, Int. J. Therm. Sci. 208 (2025) 109394.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[6] J.-B. Li, T.-Y. Zhang, Z.-D. Li, L. Chen, W.-Q. Tao, Multi-objective parameter optimization design of tapered-type manifold/variable cross-section microchannel heat sink, Appl. Therm. Eng. 251 (2024) 123587.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[7] J. Zheng, R. Febrer, J. Castro, D. Kizildag, J. Rigola, A new high-performance flat plate solar collector. Numerical modelling and experimental validation, Appl. Energy 355 (2024) 122221.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[8] A. Parthiban, C. Fogarty, D. McCloskey, Transparent insulation integration in solar thermal collector: Advancing performance for domestic water heating in oceanic climates of Western Europe, Appl. Therm. Eng. 258 (2025) 124715.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[9] R. Bharathiraja, T. Ramkumar, M. Selvakumar, K. Sasikumar, Experimental and numerical analysis of hybrid nano-enhanced phase change material (PCM) based flat plate solar collector, J. Energy Storage 96 (2024) 112649.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[10] N. Sakib, P.R. Paul, N.A. Pratik, S. Sarker, T. Talukder, P. Debnath, M.H. Ali, Novel prediction modeling of flat plate solar collector using Kolmogorov–Arnold Networks (KAN) and multi-objective performance optimization via NSGA-II, Energy Convers. Manage.: X 31 (2026) 102073.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[11] O.A. Alawi, H.M. Kamar, S.Q. Salih, et al., Development of optimized machine learning models for predicting flat plate solar collectors thermal efficiency associated with Al2O3-water nanofluids, Eng. Appl. Artif. Intell. 133 (2024) 108158.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[12] I.B. Celik, U. Ghia, P.J. Roache, C.J. Freitas, H. Coleman, P.E. Raad, Procedure for estimation and reporting of uncertainty due to discretization in CFD applications, J. Fluids Eng. 130 (2008) 078001.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[13] R.K. Shah, A.L. London, Laminar Flow Forced Convection in Ducts, Academic Press, New York, 1978.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[14] S.M. Lundberg, S.-I. Lee, A unified approach to interpreting model predictions, Adv. Neural Inf. Process. Syst. 30 (2017).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[15] K. Deb, A. Pratap, S. Agarwal, T. Meyarivan, A fast and elitist multiobjective genetic algorithm: NSGA-II, IEEE Trans. Evol. Comput. 6 (2002) 182–197.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[16] ISO 9806:2017, Solar energy — Solar thermal collectors — Test methods, International Organization for Standardization, Geneva, 2017.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[17] European Commission Joint Research Centre, Photovoltaic Geographical Information System (PVGIS), typical meteorological year 2005–2023, https://re.jrc.ec.europa.eu/pvg_tools/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[18] J.E. Hay, J.A. Davies, Calculation of the solar radiation incident on an inclined surface, in: Proc. First Canadian Solar Radiation Data Workshop, 1980, pp. 59–72.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[19] J.A. Duffie, W.A. Beckman, Solar Engineering of Thermal Processes, 4th ed., Wiley, Hoboken, 2013.</w:t>
      </w:r>
    </w:p>
    <w:p>
      <w:pPr>
        <w:spacing w:after="120" w:before="0" w:line="276" w:lineRule="auto"/>
      </w:pPr>
      <w:r>
        <w:rPr>
          <w:sz w:val="18"/>
          <w:szCs w:val="18"/>
        </w:rPr>
        <w:t xml:space="preserve">[20] T. Beikircher, M. Möckl, P. Osgyan, G. Streib, Advanced solar flat plate collectors with full area absorber, front side film and rear side vacuum super insulation, Sol. Energy Mater. Sol. Cells 141 (2015) 398–406.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D5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124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B4F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212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4A4D52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a40c68adf2105579d080f8dd7015b222631c4a.png"/><Relationship Id="rId9" Type="http://schemas.openxmlformats.org/officeDocument/2006/relationships/image" Target="media/8045f30381ab8f805fb0b951d764ba38be5c7a6c.png"/><Relationship Id="rId10" Type="http://schemas.openxmlformats.org/officeDocument/2006/relationships/image" Target="media/a1567e7b444c0d149ea5d1a42c2a902bbc39fcc4.png"/><Relationship Id="rId11" Type="http://schemas.openxmlformats.org/officeDocument/2006/relationships/image" Target="media/c74b002d71608cf4db32f842abab8983a8ebbff2.png"/><Relationship Id="rId12" Type="http://schemas.openxmlformats.org/officeDocument/2006/relationships/image" Target="media/3b5f4d1b7098b77cf0305fc091f2d4318495a5e1.png"/><Relationship Id="rId13" Type="http://schemas.openxmlformats.org/officeDocument/2006/relationships/image" Target="media/362e96f5a400cebd9d0224252dc27199c393353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GRAIL converging roll-bond absorber — manuscript draft</dc:title>
  <dc:creator>GRAIL Collector project</dc:creator>
  <dc:description>Journal manuscript draft</dc:description>
  <cp:lastModifiedBy>Un-named</cp:lastModifiedBy>
  <cp:revision>1</cp:revision>
  <dcterms:created xsi:type="dcterms:W3CDTF">2026-09-25T19:00:56.287Z</dcterms:created>
  <dcterms:modified xsi:type="dcterms:W3CDTF">2026-09-25T19:00:56.288Z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