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80"/>
        <w:jc w:val="center"/>
      </w:pPr>
      <w:r>
        <w:rPr>
          <w:b/>
          <w:bCs/>
          <w:color w:val="1B4F7A"/>
          <w:sz w:val="44"/>
          <w:szCs w:val="44"/>
        </w:rPr>
        <w:t xml:space="preserve">THE GRAIL COLLECTOR</w:t>
      </w:r>
    </w:p>
    <w:p>
      <w:pPr>
        <w:spacing w:after="60"/>
        <w:jc w:val="center"/>
      </w:pPr>
      <w:r>
        <w:rPr>
          <w:sz w:val="32"/>
          <w:szCs w:val="32"/>
        </w:rPr>
        <w:t xml:space="preserve">Stages 3, 5, 6 and 7</w:t>
      </w:r>
    </w:p>
    <w:p>
      <w:pPr>
        <w:spacing w:after="400"/>
        <w:jc w:val="center"/>
      </w:pPr>
      <w:r>
        <w:rPr>
          <w:i/>
          <w:iCs/>
          <w:color w:val="4A4D52"/>
          <w:sz w:val="21"/>
          <w:szCs w:val="21"/>
        </w:rPr>
        <w:t xml:space="preserve">ANN surrogate · NSGA-II optimisation · System model · Annual and techno-economic analysis, Berhampur (Odisha)</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084"/>
        <w:gridCol w:w="6554"/>
      </w:tblGrid>
      <w:tr>
        <w:trPr>
          <w:cantSplit/>
          <w:tblHeader/>
        </w:trPr>
        <w:tc>
          <w:tcPr>
            <w:tcW w:type="dxa" w:w="308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655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Value</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Input dataset</w:t>
            </w:r>
          </w:p>
        </w:tc>
        <w:tc>
          <w:tcPr>
            <w:tcW w:type="dxa" w:w="65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GRAIL_CFD_dataset_FINAL_rev4.2.csv (read-only, md5 13fd464c…)</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Solver used for checks</w:t>
            </w:r>
          </w:p>
        </w:tc>
        <w:tc>
          <w:tcPr>
            <w:tcW w:type="dxa" w:w="65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GRAIL-CHT, Rev 4.2 settings, Richardson 2f(220) − f(110)</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Weather</w:t>
            </w:r>
          </w:p>
        </w:tc>
        <w:tc>
          <w:tcPr>
            <w:tcW w:type="dxa" w:w="65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PVGIS TMY 19.313 N 84.810 E, 2005–2023, 8760 h (md5 63855e6f…)</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Tariff</w:t>
            </w:r>
          </w:p>
        </w:tc>
        <w:tc>
          <w:tcPr>
            <w:tcW w:type="dxa" w:w="65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TPSODL LT domestic, 470 paise/kWh (51–200 kWh slab), FY 2025-26, retained FY 2026-27</w:t>
            </w:r>
          </w:p>
        </w:tc>
      </w:tr>
      <w:tr>
        <w:trPr>
          <w:cantSplit/>
          <w:tblHeader w:val="false"/>
        </w:trPr>
        <w:tc>
          <w:tcPr>
            <w:tcW w:type="dxa" w:w="308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Stage 4 (topology optimisation)</w:t>
            </w:r>
          </w:p>
        </w:tc>
        <w:tc>
          <w:tcPr>
            <w:tcW w:type="dxa" w:w="655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Removed from scope (future work)</w:t>
            </w:r>
          </w:p>
        </w:tc>
      </w:tr>
      <w:tr>
        <w:trPr>
          <w:cantSplit/>
          <w:tblHeader w:val="false"/>
        </w:trPr>
        <w:tc>
          <w:tcPr>
            <w:tcW w:type="dxa" w:w="308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Experimental validation</w:t>
            </w:r>
          </w:p>
        </w:tc>
        <w:tc>
          <w:tcPr>
            <w:tcW w:type="dxa" w:w="655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None claimed. All results are model results</w:t>
            </w:r>
          </w:p>
        </w:tc>
      </w:tr>
    </w:tbl>
    <w:p>
      <w:pPr>
        <w:sectPr>
          <w:footerReference w:type="default" r:id="rId7"/>
          <w:pgSz w:w="11906" w:h="16838" w:orient="portrait"/>
          <w:pgMar w:top="1134" w:right="1134" w:bottom="1134" w:left="1134" w:header="708" w:footer="708" w:gutter="0"/>
          <w:pgNumType/>
          <w:docGrid w:linePitch="360"/>
        </w:sectPr>
      </w:pPr>
    </w:p>
    <w:p>
      <w:pPr>
        <w:pStyle w:val="Heading1"/>
        <w:pageBreakBefore/>
        <w:spacing w:after="160" w:before="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0"/>
      </w:pPr>
      <w:r>
        <w:t xml:space="preserve">1. Summary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313"/>
        <w:gridCol w:w="7325"/>
      </w:tblGrid>
      <w:tr>
        <w:trPr>
          <w:cantSplit/>
          <w:tblHeader/>
        </w:trPr>
        <w:tc>
          <w:tcPr>
            <w:tcW w:type="dxa" w:w="23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Stage</w:t>
            </w:r>
          </w:p>
        </w:tc>
        <w:tc>
          <w:tcPr>
            <w:tcW w:type="dxa" w:w="732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Result</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 ANN surrogate</w:t>
            </w:r>
          </w:p>
        </w:tc>
        <w:tc>
          <w:tcPr>
            <w:tcW w:type="dxa" w:w="732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Test R² 0.9994–0.9998 on 60 unseen cases (η MAPE 0.14 %). GPR slightly better (R² ≥ 0.9999); ANN kept as the roadmap model, GPR reported as the check</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 NSGA-II</w:t>
            </w:r>
          </w:p>
        </w:tc>
        <w:tc>
          <w:tcPr>
            <w:tcW w:type="dxa" w:w="732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Fronts for both arrangements. All 8 selected points re-run in GRAIL-CHT: η error ≤ 0.13 points, std ≤ 2.4 %, Δp ≤ 5.8 %. Parallel dominates on efficiency; alternating reaches the lowest plate std (2.83 K) at the top flow</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6 System model</w:t>
            </w:r>
          </w:p>
        </w:tc>
        <w:tc>
          <w:tcPr>
            <w:tcW w:type="dxa" w:w="732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η0 0.597 / a1 2.00 W/m²K (alternating); η0 0.637 / a1 2.10 W/m²K (parallel). Fit error ≤ 0.23 points RMS; held-out points ≤ 0.24 points</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 Annual, Berhampur</w:t>
            </w:r>
          </w:p>
        </w:tc>
        <w:tc>
          <w:tcPr>
            <w:tcW w:type="dxa" w:w="732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Collector yield at 40 °C inlet: 1030 kWh/m²/yr parallel, 965 alternating (−6.3 %)</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 Techno-economic</w:t>
            </w:r>
          </w:p>
        </w:tc>
        <w:tc>
          <w:tcPr>
            <w:tcW w:type="dxa" w:w="732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Best size for 100 L/day: 2 modules (1.06 m²). Solar fraction 86 % / 83 %, cost of solar heat Rs 4.34 / 4.49 per kWh vs Rs 4.95 for an electric geyser, simple payback about 7.4 / 7.6 years (parallel / alternating)</w:t>
            </w:r>
          </w:p>
        </w:tc>
      </w:tr>
    </w:tbl>
    <w:p>
      <w:pPr>
        <w:spacing w:after="200"/>
      </w:pP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Findings that the thesis must state as they are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1. Efficiency: parallel flow beats alternating in every stage — the dataset (−7.3 %), the Pareto fronts, the fitted curves and the annual yield (−6.3 %). Alternating only wins on plate uniformity at high flow, as Rev 4.1 found.</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2. Converging channels: the optimiser pushes the grading ratio to its upper bound, 1.0 (a straight channel), and SHAP gives the grading inputs almost no effect on efficiency. Within the studied range, converging the channels does not raise efficiency; it raises pressure drop. DESIGN_REVIEW_REQUIRED for any claim that convergence improves thermal performance.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3. Pumping power in the channels is below 0.1 mW at every point, so it is not a real objective. Manifold and pump losses dominate in practice, and they are not modelled (manifold dimensions are still ENGINEERING_ASSUMPTION).</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4. Optimum efficiency lies on the upper flow bound (4.5 g/s). The optimisation cannot say what happens beyond the sampled range.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5. Stagnation: with 4 modules the collector node reaches 427–442 K (154–168 °C) for up to 486 h/yr, outside the fitted range and probably above the TIM and PCM material limits. DESIGN_REVIEW_REQUIRED (overheat protection or smaller array). With the recommended 2 modules the maximum is 349–353 K.</w:t>
            </w:r>
          </w:p>
        </w:tc>
      </w:tr>
    </w:tbl>
    <w:p>
      <w:pPr>
        <w:pStyle w:val="Heading1"/>
        <w:pageBreakBefore/>
        <w:spacing w:after="160" w:before="0"/>
      </w:pPr>
      <w:r>
        <w:t xml:space="preserve">2. Stage 3 — ANN surrogate</w:t>
      </w:r>
    </w:p>
    <w:p>
      <w:pPr>
        <w:pStyle w:val="Heading2"/>
        <w:keepNext/>
        <w:spacing w:after="120" w:before="280"/>
      </w:pPr>
      <w:r>
        <w:t xml:space="preserve">2.1 Method</w:t>
      </w:r>
    </w:p>
    <w:p>
      <w:pPr>
        <w:pStyle w:val="ListParagraph"/>
        <w:numPr>
          <w:ilvl w:val="0"/>
          <w:numId w:val="2"/>
        </w:numPr>
        <w:spacing w:after="80" w:before="0" w:line="276" w:lineRule="auto"/>
      </w:pPr>
      <w:r>
        <w:t xml:space="preserve">Inputs (9, sampled model inputs only, no derived columns): G_T, T_in, T_amb, wind, total mass flow, bridge width, grading ratio, grading exponent, arrangement flag.</w:t>
      </w:r>
    </w:p>
    <w:p>
      <w:pPr>
        <w:pStyle w:val="ListParagraph"/>
        <w:numPr>
          <w:ilvl w:val="0"/>
          <w:numId w:val="2"/>
        </w:numPr>
        <w:spacing w:after="80" w:before="0" w:line="276" w:lineRule="auto"/>
      </w:pPr>
      <w:r>
        <w:t xml:space="preserve">Targets: η, plate std, ln(Δp), mean plate temperature.</w:t>
      </w:r>
    </w:p>
    <w:p>
      <w:pPr>
        <w:pStyle w:val="ListParagraph"/>
        <w:numPr>
          <w:ilvl w:val="0"/>
          <w:numId w:val="2"/>
        </w:numPr>
        <w:spacing w:after="80" w:before="0" w:line="276" w:lineRule="auto"/>
      </w:pPr>
      <w:r>
        <w:t xml:space="preserve">Split: 240 training / 60 test cases, stratified by arrangement, seed 42. The test set was not used in any tuning step.</w:t>
      </w:r>
    </w:p>
    <w:p>
      <w:pPr>
        <w:pStyle w:val="ListParagraph"/>
        <w:numPr>
          <w:ilvl w:val="0"/>
          <w:numId w:val="2"/>
        </w:numPr>
        <w:spacing w:after="80" w:before="0" w:line="276" w:lineRule="auto"/>
      </w:pPr>
      <w:r>
        <w:t xml:space="preserve">Tuning: 5-fold cross-validated grid over 6 architectures × 5 L2 penalties; tanh activation, L-BFGS training, standardised inputs and targets.</w:t>
      </w:r>
    </w:p>
    <w:p>
      <w:pPr>
        <w:pStyle w:val="ListParagraph"/>
        <w:numPr>
          <w:ilvl w:val="0"/>
          <w:numId w:val="2"/>
        </w:numPr>
        <w:spacing w:after="80" w:before="0" w:line="276" w:lineRule="auto"/>
      </w:pPr>
      <w:r>
        <w:t xml:space="preserve">Final model: 10-member ensemble of the tuned network (different seeds); the ensemble spread is kept as an uncertainty indicator.</w:t>
      </w:r>
    </w:p>
    <w:p>
      <w:pPr>
        <w:pStyle w:val="ListParagraph"/>
        <w:numPr>
          <w:ilvl w:val="0"/>
          <w:numId w:val="2"/>
        </w:numPr>
        <w:spacing w:after="80" w:before="0" w:line="276" w:lineRule="auto"/>
      </w:pPr>
      <w:r>
        <w:t xml:space="preserve">Baselines on the same split: linear regression and Gaussian-process regression.</w:t>
      </w:r>
    </w:p>
    <w:p>
      <w:pPr>
        <w:pStyle w:val="Heading2"/>
        <w:keepNext/>
        <w:spacing w:after="120" w:before="280"/>
      </w:pPr>
      <w:r>
        <w:t xml:space="preserve">2.2 Results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886"/>
        <w:gridCol w:w="1781"/>
        <w:gridCol w:w="1048"/>
        <w:gridCol w:w="1257"/>
        <w:gridCol w:w="1152"/>
        <w:gridCol w:w="1257"/>
        <w:gridCol w:w="1257"/>
      </w:tblGrid>
      <w:tr>
        <w:trPr>
          <w:cantSplit/>
          <w:tblHeader/>
        </w:trPr>
        <w:tc>
          <w:tcPr>
            <w:tcW w:type="dxa" w:w="188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Target</w:t>
            </w:r>
          </w:p>
        </w:tc>
        <w:tc>
          <w:tcPr>
            <w:tcW w:type="dxa" w:w="178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Architecture, α</w:t>
            </w:r>
          </w:p>
        </w:tc>
        <w:tc>
          <w:tcPr>
            <w:tcW w:type="dxa" w:w="104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CV R²</w:t>
            </w:r>
          </w:p>
        </w:tc>
        <w:tc>
          <w:tcPr>
            <w:tcW w:type="dxa" w:w="125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ANN test R²</w:t>
            </w:r>
          </w:p>
        </w:tc>
        <w:tc>
          <w:tcPr>
            <w:tcW w:type="dxa" w:w="115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ANN MAPE %</w:t>
            </w:r>
          </w:p>
        </w:tc>
        <w:tc>
          <w:tcPr>
            <w:tcW w:type="dxa" w:w="125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GPR test R²</w:t>
            </w:r>
          </w:p>
        </w:tc>
        <w:tc>
          <w:tcPr>
            <w:tcW w:type="dxa" w:w="125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Linear test R²</w:t>
            </w:r>
          </w:p>
        </w:tc>
      </w:tr>
      <w:tr>
        <w:trPr>
          <w:cantSplit/>
          <w:tblHeader w:val="false"/>
        </w:trPr>
        <w:tc>
          <w:tcPr>
            <w:tcW w:type="dxa" w:w="18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eta</w:t>
            </w:r>
          </w:p>
        </w:tc>
        <w:tc>
          <w:tcPr>
            <w:tcW w:type="dxa" w:w="178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[64, 32], 0.01</w:t>
            </w:r>
          </w:p>
        </w:tc>
        <w:tc>
          <w:tcPr>
            <w:tcW w:type="dxa" w:w="10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0.9994</w:t>
            </w:r>
          </w:p>
        </w:tc>
        <w:tc>
          <w:tcPr>
            <w:tcW w:type="dxa" w:w="12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0.9997</w:t>
            </w:r>
          </w:p>
        </w:tc>
        <w:tc>
          <w:tcPr>
            <w:tcW w:type="dxa" w:w="115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0.14</w:t>
            </w:r>
          </w:p>
        </w:tc>
        <w:tc>
          <w:tcPr>
            <w:tcW w:type="dxa" w:w="12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0.9999</w:t>
            </w:r>
          </w:p>
        </w:tc>
        <w:tc>
          <w:tcPr>
            <w:tcW w:type="dxa" w:w="12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0.8897</w:t>
            </w:r>
          </w:p>
        </w:tc>
      </w:tr>
      <w:tr>
        <w:trPr>
          <w:cantSplit/>
          <w:tblHeader w:val="false"/>
        </w:trPr>
        <w:tc>
          <w:tcPr>
            <w:tcW w:type="dxa" w:w="18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plate_std_K</w:t>
            </w:r>
          </w:p>
        </w:tc>
        <w:tc>
          <w:tcPr>
            <w:tcW w:type="dxa" w:w="178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[32, 32], 0.01</w:t>
            </w:r>
          </w:p>
        </w:tc>
        <w:tc>
          <w:tcPr>
            <w:tcW w:type="dxa" w:w="104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0.9993</w:t>
            </w:r>
          </w:p>
        </w:tc>
        <w:tc>
          <w:tcPr>
            <w:tcW w:type="dxa" w:w="12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0.9996</w:t>
            </w:r>
          </w:p>
        </w:tc>
        <w:tc>
          <w:tcPr>
            <w:tcW w:type="dxa" w:w="115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0.53</w:t>
            </w:r>
          </w:p>
        </w:tc>
        <w:tc>
          <w:tcPr>
            <w:tcW w:type="dxa" w:w="12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1.0000</w:t>
            </w:r>
          </w:p>
        </w:tc>
        <w:tc>
          <w:tcPr>
            <w:tcW w:type="dxa" w:w="12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0.8519</w:t>
            </w:r>
          </w:p>
        </w:tc>
      </w:tr>
      <w:tr>
        <w:trPr>
          <w:cantSplit/>
          <w:tblHeader w:val="false"/>
        </w:trPr>
        <w:tc>
          <w:tcPr>
            <w:tcW w:type="dxa" w:w="188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log_dp_Pa</w:t>
            </w:r>
          </w:p>
        </w:tc>
        <w:tc>
          <w:tcPr>
            <w:tcW w:type="dxa" w:w="178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[64, 32], 0.01</w:t>
            </w:r>
          </w:p>
        </w:tc>
        <w:tc>
          <w:tcPr>
            <w:tcW w:type="dxa" w:w="10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0.9992</w:t>
            </w:r>
          </w:p>
        </w:tc>
        <w:tc>
          <w:tcPr>
            <w:tcW w:type="dxa" w:w="12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0.9998</w:t>
            </w:r>
          </w:p>
        </w:tc>
        <w:tc>
          <w:tcPr>
            <w:tcW w:type="dxa" w:w="115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0.92</w:t>
            </w:r>
          </w:p>
        </w:tc>
        <w:tc>
          <w:tcPr>
            <w:tcW w:type="dxa" w:w="12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1.0000</w:t>
            </w:r>
          </w:p>
        </w:tc>
        <w:tc>
          <w:tcPr>
            <w:tcW w:type="dxa" w:w="12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0.9747</w:t>
            </w:r>
          </w:p>
        </w:tc>
      </w:tr>
      <w:tr>
        <w:trPr>
          <w:cantSplit/>
          <w:tblHeader w:val="false"/>
        </w:trPr>
        <w:tc>
          <w:tcPr>
            <w:tcW w:type="dxa" w:w="188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T_plate_mean_K</w:t>
            </w:r>
          </w:p>
        </w:tc>
        <w:tc>
          <w:tcPr>
            <w:tcW w:type="dxa" w:w="178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[64, 32], 0.01</w:t>
            </w:r>
          </w:p>
        </w:tc>
        <w:tc>
          <w:tcPr>
            <w:tcW w:type="dxa" w:w="104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0.9992</w:t>
            </w:r>
          </w:p>
        </w:tc>
        <w:tc>
          <w:tcPr>
            <w:tcW w:type="dxa" w:w="12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0.9994</w:t>
            </w:r>
          </w:p>
        </w:tc>
        <w:tc>
          <w:tcPr>
            <w:tcW w:type="dxa" w:w="115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0.06</w:t>
            </w:r>
          </w:p>
        </w:tc>
        <w:tc>
          <w:tcPr>
            <w:tcW w:type="dxa" w:w="12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1.0000</w:t>
            </w:r>
          </w:p>
        </w:tc>
        <w:tc>
          <w:tcPr>
            <w:tcW w:type="dxa" w:w="12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0.8813</w:t>
            </w:r>
          </w:p>
        </w:tc>
      </w:tr>
    </w:tbl>
    <w:p>
      <w:pPr>
        <w:keepNext/>
        <w:spacing w:after="60" w:before="120"/>
      </w:pPr>
      <w:r>
        <w:rPr>
          <w:i/>
          <w:iCs/>
          <w:color w:val="4A4D52"/>
          <w:sz w:val="17"/>
          <w:szCs w:val="17"/>
        </w:rPr>
        <w:t xml:space="preserve">Table 1. Surrogate accuracy on the 60-case hold-out set</w:t>
      </w:r>
    </w:p>
    <w:p>
      <w:pPr>
        <w:spacing w:after="120" w:before="0" w:line="276" w:lineRule="auto"/>
      </w:pPr>
      <w:r>
        <w:t xml:space="preserve">The linear model reaches only R² 0.85–0.97, so the response is clearly non-linear; the ANN captures it. The GPR is marginally more accurate on this smooth 300-case dataset. Both are far inside the solver's own numerical uncertainty, so the choice does not change any conclusion.</w:t>
      </w:r>
    </w:p>
    <w:p>
      <w:pPr>
        <w:spacing w:after="40" w:before="160"/>
        <w:jc w:val="center"/>
      </w:pPr>
      <w:r>
        <w:drawing>
          <wp:inline distT="0" distB="0" distL="0" distR="0">
            <wp:extent cx="612457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1676400"/>
                    </a:xfrm>
                    <a:prstGeom prst="rect">
                      <a:avLst/>
                    </a:prstGeom>
                  </pic:spPr>
                </pic:pic>
              </a:graphicData>
            </a:graphic>
          </wp:inline>
        </w:drawing>
      </w:r>
    </w:p>
    <w:p>
      <w:pPr>
        <w:spacing w:after="240" w:before="60"/>
        <w:jc w:val="center"/>
      </w:pPr>
      <w:r>
        <w:rPr>
          <w:i/>
          <w:iCs/>
          <w:color w:val="4A4D52"/>
          <w:sz w:val="17"/>
          <w:szCs w:val="17"/>
        </w:rPr>
        <w:t xml:space="preserve">Figure 15. Parity plots, test set</w:t>
      </w:r>
    </w:p>
    <w:p>
      <w:pPr>
        <w:pStyle w:val="Heading2"/>
        <w:keepNext/>
        <w:spacing w:after="120" w:before="280"/>
      </w:pPr>
      <w:r>
        <w:t xml:space="preserve">2.3 SHAP</w:t>
      </w:r>
    </w:p>
    <w:p>
      <w:pPr>
        <w:spacing w:after="120" w:before="0" w:line="276" w:lineRule="auto"/>
      </w:pPr>
      <w:r>
        <w:t xml:space="preserve">Mean |SHAP| on the test set. Efficiency is driven by T_in, T_amb, flow and arrangement. The three geometric inputs (bridge, grading ratio, grading exponent) are two orders of magnitude weaker. Plate uniformity is driven by flow and irradiance. Pressure drop is driven by grading ratio and flow — the only place where the converging geometry matters strongly.</w:t>
      </w:r>
    </w:p>
    <w:p>
      <w:pPr>
        <w:spacing w:after="40" w:before="160"/>
        <w:jc w:val="center"/>
      </w:pPr>
      <w:r>
        <w:drawing>
          <wp:inline distT="0" distB="0" distL="0" distR="0">
            <wp:extent cx="612457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1790700"/>
                    </a:xfrm>
                    <a:prstGeom prst="rect">
                      <a:avLst/>
                    </a:prstGeom>
                  </pic:spPr>
                </pic:pic>
              </a:graphicData>
            </a:graphic>
          </wp:inline>
        </w:drawing>
      </w:r>
    </w:p>
    <w:p>
      <w:pPr>
        <w:spacing w:after="240" w:before="60"/>
        <w:jc w:val="center"/>
      </w:pPr>
      <w:r>
        <w:rPr>
          <w:i/>
          <w:iCs/>
          <w:color w:val="4A4D52"/>
          <w:sz w:val="17"/>
          <w:szCs w:val="17"/>
        </w:rPr>
        <w:t xml:space="preserve">Figure 16. SHAP importance</w:t>
      </w:r>
    </w:p>
    <w:p>
      <w:pPr>
        <w:pStyle w:val="Heading1"/>
        <w:pageBreakBefore/>
        <w:spacing w:after="160" w:before="0"/>
      </w:pPr>
      <w:r>
        <w:t xml:space="preserve">3. Stage 5 — NSGA-II optimisation</w:t>
      </w:r>
    </w:p>
    <w:p>
      <w:pPr>
        <w:pStyle w:val="ListParagraph"/>
        <w:numPr>
          <w:ilvl w:val="0"/>
          <w:numId w:val="2"/>
        </w:numPr>
        <w:spacing w:after="80" w:before="0" w:line="276" w:lineRule="auto"/>
      </w:pPr>
      <w:r>
        <w:t xml:space="preserve">Variables inside the campaign bounds: flow 1.0–4.5 g/s, bridge 20–37 mm, grading ratio 0.35–1.0, grading exponent 0.5–2.0. Each arrangement was optimised separately and the fronts were merged.</w:t>
      </w:r>
    </w:p>
    <w:p>
      <w:pPr>
        <w:pStyle w:val="ListParagraph"/>
        <w:numPr>
          <w:ilvl w:val="0"/>
          <w:numId w:val="2"/>
        </w:numPr>
        <w:spacing w:after="80" w:before="0" w:line="276" w:lineRule="auto"/>
      </w:pPr>
      <w:r>
        <w:t xml:space="preserve">Reference point (ENGINEERING_ASSUMPTION, Berhampur clear-sky noon): G 800 W/m², T_in 313.15 K, T_amb 303.15 K, wind 3 m/s.</w:t>
      </w:r>
    </w:p>
    <w:p>
      <w:pPr>
        <w:pStyle w:val="ListParagraph"/>
        <w:numPr>
          <w:ilvl w:val="0"/>
          <w:numId w:val="2"/>
        </w:numPr>
        <w:spacing w:after="80" w:before="0" w:line="276" w:lineRule="auto"/>
      </w:pPr>
      <w:r>
        <w:t xml:space="preserve">Objectives: maximise η, minimise plate std, minimise pumping power. Population 200, 250 generations, seed 7.</w:t>
      </w:r>
    </w:p>
    <w:p>
      <w:pPr>
        <w:spacing w:after="40" w:before="160"/>
        <w:jc w:val="center"/>
      </w:pPr>
      <w:r>
        <w:drawing>
          <wp:inline distT="0" distB="0" distL="0" distR="0">
            <wp:extent cx="612457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295525"/>
                    </a:xfrm>
                    <a:prstGeom prst="rect">
                      <a:avLst/>
                    </a:prstGeom>
                  </pic:spPr>
                </pic:pic>
              </a:graphicData>
            </a:graphic>
          </wp:inline>
        </w:drawing>
      </w:r>
    </w:p>
    <w:p>
      <w:pPr>
        <w:spacing w:after="240" w:before="60"/>
        <w:jc w:val="center"/>
      </w:pPr>
      <w:r>
        <w:rPr>
          <w:i/>
          <w:iCs/>
          <w:color w:val="4A4D52"/>
          <w:sz w:val="17"/>
          <w:szCs w:val="17"/>
        </w:rPr>
        <w:t xml:space="preserve">Figure 17. Pareto fronts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152"/>
        <w:gridCol w:w="838"/>
        <w:gridCol w:w="733"/>
        <w:gridCol w:w="838"/>
        <w:gridCol w:w="838"/>
        <w:gridCol w:w="838"/>
        <w:gridCol w:w="838"/>
        <w:gridCol w:w="1048"/>
        <w:gridCol w:w="838"/>
        <w:gridCol w:w="838"/>
        <w:gridCol w:w="839"/>
      </w:tblGrid>
      <w:tr>
        <w:trPr>
          <w:cantSplit/>
          <w:tblHeader/>
        </w:trPr>
        <w:tc>
          <w:tcPr>
            <w:tcW w:type="dxa" w:w="115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8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Pick</w:t>
            </w:r>
          </w:p>
        </w:tc>
        <w:tc>
          <w:tcPr>
            <w:tcW w:type="dxa" w:w="73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Flow g/s</w:t>
            </w:r>
          </w:p>
        </w:tc>
        <w:tc>
          <w:tcPr>
            <w:tcW w:type="dxa" w:w="8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Bridge mm</w:t>
            </w:r>
          </w:p>
        </w:tc>
        <w:tc>
          <w:tcPr>
            <w:tcW w:type="dxa" w:w="8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Grading ratio</w:t>
            </w:r>
          </w:p>
        </w:tc>
        <w:tc>
          <w:tcPr>
            <w:tcW w:type="dxa" w:w="8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Exponent</w:t>
            </w:r>
          </w:p>
        </w:tc>
        <w:tc>
          <w:tcPr>
            <w:tcW w:type="dxa" w:w="8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η ANN</w:t>
            </w:r>
          </w:p>
        </w:tc>
        <w:tc>
          <w:tcPr>
            <w:tcW w:type="dxa" w:w="104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η GRAIL-CHT</w:t>
            </w:r>
          </w:p>
        </w:tc>
        <w:tc>
          <w:tcPr>
            <w:tcW w:type="dxa" w:w="8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std ANN K</w:t>
            </w:r>
          </w:p>
        </w:tc>
        <w:tc>
          <w:tcPr>
            <w:tcW w:type="dxa" w:w="8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std CHT K</w:t>
            </w:r>
          </w:p>
        </w:tc>
        <w:tc>
          <w:tcPr>
            <w:tcW w:type="dxa" w:w="83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Δp error %</w:t>
            </w:r>
          </w:p>
        </w:tc>
      </w:tr>
      <w:tr>
        <w:trPr>
          <w:cantSplit/>
          <w:tblHeader w:val="false"/>
        </w:trPr>
        <w:tc>
          <w:tcPr>
            <w:tcW w:type="dxa" w:w="11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max_eta</w:t>
            </w:r>
          </w:p>
        </w:tc>
        <w:tc>
          <w:tcPr>
            <w:tcW w:type="dxa" w:w="73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4.49</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31.9</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0.998</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0.50</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0.5783</w:t>
            </w:r>
          </w:p>
        </w:tc>
        <w:tc>
          <w:tcPr>
            <w:tcW w:type="dxa" w:w="10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0.5784</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2.87</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2.83</w:t>
            </w:r>
          </w:p>
        </w:tc>
        <w:tc>
          <w:tcPr>
            <w:tcW w:type="dxa" w:w="83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5.8</w:t>
            </w:r>
          </w:p>
        </w:tc>
      </w:tr>
      <w:tr>
        <w:trPr>
          <w:cantSplit/>
          <w:tblHeader w:val="false"/>
        </w:trPr>
        <w:tc>
          <w:tcPr>
            <w:tcW w:type="dxa" w:w="11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min_std</w:t>
            </w:r>
          </w:p>
        </w:tc>
        <w:tc>
          <w:tcPr>
            <w:tcW w:type="dxa" w:w="73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4.49</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37.0</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0.708</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1.35</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0.5773</w:t>
            </w:r>
          </w:p>
        </w:tc>
        <w:tc>
          <w:tcPr>
            <w:tcW w:type="dxa" w:w="104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0.5782</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2.83</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2.87</w:t>
            </w:r>
          </w:p>
        </w:tc>
        <w:tc>
          <w:tcPr>
            <w:tcW w:type="dxa" w:w="83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w:t>
            </w:r>
          </w:p>
        </w:tc>
      </w:tr>
      <w:tr>
        <w:trPr>
          <w:cantSplit/>
          <w:tblHeader w:val="false"/>
        </w:trPr>
        <w:tc>
          <w:tcPr>
            <w:tcW w:type="dxa" w:w="11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knee</w:t>
            </w:r>
          </w:p>
        </w:tc>
        <w:tc>
          <w:tcPr>
            <w:tcW w:type="dxa" w:w="73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3.28</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31.0</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0.997</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1.21</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0.5599</w:t>
            </w:r>
          </w:p>
        </w:tc>
        <w:tc>
          <w:tcPr>
            <w:tcW w:type="dxa" w:w="10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0.5601</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4.80</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4.82</w:t>
            </w:r>
          </w:p>
        </w:tc>
        <w:tc>
          <w:tcPr>
            <w:tcW w:type="dxa" w:w="83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w:t>
            </w:r>
          </w:p>
        </w:tc>
      </w:tr>
      <w:tr>
        <w:trPr>
          <w:cantSplit/>
          <w:tblHeader w:val="false"/>
        </w:trPr>
        <w:tc>
          <w:tcPr>
            <w:tcW w:type="dxa" w:w="11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max_eta</w:t>
            </w:r>
          </w:p>
        </w:tc>
        <w:tc>
          <w:tcPr>
            <w:tcW w:type="dxa" w:w="73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4.49</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33.9</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0.998</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0.50</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0.5940</w:t>
            </w:r>
          </w:p>
        </w:tc>
        <w:tc>
          <w:tcPr>
            <w:tcW w:type="dxa" w:w="104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0.5943</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3.71</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3.76</w:t>
            </w:r>
          </w:p>
        </w:tc>
        <w:tc>
          <w:tcPr>
            <w:tcW w:type="dxa" w:w="83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5.3</w:t>
            </w:r>
          </w:p>
        </w:tc>
      </w:tr>
      <w:tr>
        <w:trPr>
          <w:cantSplit/>
          <w:tblHeader w:val="false"/>
        </w:trPr>
        <w:tc>
          <w:tcPr>
            <w:tcW w:type="dxa" w:w="11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min_std</w:t>
            </w:r>
          </w:p>
        </w:tc>
        <w:tc>
          <w:tcPr>
            <w:tcW w:type="dxa" w:w="73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4.49</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37.0</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0.998</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2.00</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0.5931</w:t>
            </w:r>
          </w:p>
        </w:tc>
        <w:tc>
          <w:tcPr>
            <w:tcW w:type="dxa" w:w="10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0.5944</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3.68</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3.76</w:t>
            </w:r>
          </w:p>
        </w:tc>
        <w:tc>
          <w:tcPr>
            <w:tcW w:type="dxa" w:w="83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-0.3</w:t>
            </w:r>
          </w:p>
        </w:tc>
      </w:tr>
      <w:tr>
        <w:trPr>
          <w:cantSplit/>
          <w:tblHeader w:val="false"/>
        </w:trPr>
        <w:tc>
          <w:tcPr>
            <w:tcW w:type="dxa" w:w="11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knee</w:t>
            </w:r>
          </w:p>
        </w:tc>
        <w:tc>
          <w:tcPr>
            <w:tcW w:type="dxa" w:w="73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2.94</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27.6</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0.998</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1.40</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0.5852</w:t>
            </w:r>
          </w:p>
        </w:tc>
        <w:tc>
          <w:tcPr>
            <w:tcW w:type="dxa" w:w="104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0.5850</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5.64</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5.64</w:t>
            </w:r>
          </w:p>
        </w:tc>
        <w:tc>
          <w:tcPr>
            <w:tcW w:type="dxa" w:w="83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-0.7</w:t>
            </w:r>
          </w:p>
        </w:tc>
      </w:tr>
      <w:tr>
        <w:trPr>
          <w:cantSplit/>
          <w:tblHeader w:val="false"/>
        </w:trPr>
        <w:tc>
          <w:tcPr>
            <w:tcW w:type="dxa" w:w="115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as_built</w:t>
            </w:r>
          </w:p>
        </w:tc>
        <w:tc>
          <w:tcPr>
            <w:tcW w:type="dxa" w:w="73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2.75</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31.3</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0.540</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1.00</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0.5467</w:t>
            </w:r>
          </w:p>
        </w:tc>
        <w:tc>
          <w:tcPr>
            <w:tcW w:type="dxa" w:w="10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0.5466</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6.29</w:t>
            </w:r>
          </w:p>
        </w:tc>
        <w:tc>
          <w:tcPr>
            <w:tcW w:type="dxa" w:w="8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6.27</w:t>
            </w:r>
          </w:p>
        </w:tc>
        <w:tc>
          <w:tcPr>
            <w:tcW w:type="dxa" w:w="83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-0.2</w:t>
            </w:r>
          </w:p>
        </w:tc>
      </w:tr>
      <w:tr>
        <w:trPr>
          <w:cantSplit/>
          <w:tblHeader w:val="false"/>
        </w:trPr>
        <w:tc>
          <w:tcPr>
            <w:tcW w:type="dxa" w:w="115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as_built</w:t>
            </w:r>
          </w:p>
        </w:tc>
        <w:tc>
          <w:tcPr>
            <w:tcW w:type="dxa" w:w="73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2.75</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31.3</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0.540</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1.00</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0.5834</w:t>
            </w:r>
          </w:p>
        </w:tc>
        <w:tc>
          <w:tcPr>
            <w:tcW w:type="dxa" w:w="104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0.5830</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6.00</w:t>
            </w:r>
          </w:p>
        </w:tc>
        <w:tc>
          <w:tcPr>
            <w:tcW w:type="dxa" w:w="8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6.01</w:t>
            </w:r>
          </w:p>
        </w:tc>
        <w:tc>
          <w:tcPr>
            <w:tcW w:type="dxa" w:w="83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w:t>
            </w:r>
          </w:p>
        </w:tc>
      </w:tr>
    </w:tbl>
    <w:p>
      <w:pPr>
        <w:keepNext/>
        <w:spacing w:after="60" w:before="120"/>
      </w:pPr>
      <w:r>
        <w:rPr>
          <w:i/>
          <w:iCs/>
          <w:color w:val="4A4D52"/>
          <w:sz w:val="17"/>
          <w:szCs w:val="17"/>
        </w:rPr>
        <w:t xml:space="preserve">Table 2. Selected points re-run with GRAIL-CHT (all converged, energy error &lt; 0.5 %)</w:t>
      </w:r>
    </w:p>
    <w:p>
      <w:pPr>
        <w:spacing w:after="120" w:before="0" w:line="276" w:lineRule="auto"/>
      </w:pPr>
      <w:r>
        <w:t xml:space="preserve">Every selected point was re-run with the solver; the surrogate holds to 0.13 efficiency points. The as-built design sits almost on each front. Moving it along the front is mainly a matter of flow: more flow gives higher efficiency and a flatter plate.</w:t>
      </w:r>
    </w:p>
    <w:p>
      <w:pPr>
        <w:pStyle w:val="Heading1"/>
        <w:pageBreakBefore/>
        <w:spacing w:after="160" w:before="0"/>
      </w:pPr>
      <w:r>
        <w:t xml:space="preserve">4. Stage 6 — System model</w:t>
      </w:r>
    </w:p>
    <w:p>
      <w:pPr>
        <w:pStyle w:val="Heading2"/>
        <w:keepNext/>
        <w:spacing w:after="120" w:before="280"/>
      </w:pPr>
      <w:r>
        <w:t xml:space="preserve">4.1 Efficiency correlations (virtual steady-state test)</w:t>
      </w:r>
    </w:p>
    <w:p>
      <w:pPr>
        <w:spacing w:after="120" w:before="0" w:line="276" w:lineRule="auto"/>
      </w:pPr>
      <w:r>
        <w:t xml:space="preserve">The as-built geometry (bridge 31.29 mm, G 0.539935, λ 1.0) at the design flow of 2.75 g/s was run in GRAIL-CHT at 22 points: G ∈ {500, 900} W/m² × T_in ∈ {293, 308, 323, 332} K for the fit, and 3 held-out points (wind 0.5 and 4.9 m/s, T_amb 288 K). The ISO 9806 steady form was fitted on the mean fluid temperature.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285"/>
        <w:gridCol w:w="857"/>
        <w:gridCol w:w="1071"/>
        <w:gridCol w:w="1071"/>
        <w:gridCol w:w="1178"/>
        <w:gridCol w:w="1928"/>
        <w:gridCol w:w="2248"/>
      </w:tblGrid>
      <w:tr>
        <w:trPr>
          <w:cantSplit/>
          <w:tblHeader/>
        </w:trPr>
        <w:tc>
          <w:tcPr>
            <w:tcW w:type="dxa" w:w="128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85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η0</w:t>
            </w:r>
          </w:p>
        </w:tc>
        <w:tc>
          <w:tcPr>
            <w:tcW w:type="dxa" w:w="107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a1 W/m²K</w:t>
            </w:r>
          </w:p>
        </w:tc>
        <w:tc>
          <w:tcPr>
            <w:tcW w:type="dxa" w:w="107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a2 W/m²K²</w:t>
            </w:r>
          </w:p>
        </w:tc>
        <w:tc>
          <w:tcPr>
            <w:tcW w:type="dxa" w:w="117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Fit RMS (points)</w:t>
            </w:r>
          </w:p>
        </w:tc>
        <w:tc>
          <w:tcPr>
            <w:tcW w:type="dxa" w:w="192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Held-out errors (points)</w:t>
            </w:r>
          </w:p>
        </w:tc>
        <w:tc>
          <w:tcPr>
            <w:tcW w:type="dxa" w:w="224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Wind 0.5 → 4.9 m/s</w:t>
            </w:r>
          </w:p>
        </w:tc>
      </w:tr>
      <w:tr>
        <w:trPr>
          <w:cantSplit/>
          <w:tblHeader w:val="false"/>
        </w:trPr>
        <w:tc>
          <w:tcPr>
            <w:tcW w:type="dxa" w:w="128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8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0.5966</w:t>
            </w:r>
          </w:p>
        </w:tc>
        <w:tc>
          <w:tcPr>
            <w:tcW w:type="dxa" w:w="107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2.004</w:t>
            </w:r>
          </w:p>
        </w:tc>
        <w:tc>
          <w:tcPr>
            <w:tcW w:type="dxa" w:w="107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0.00038</w:t>
            </w:r>
          </w:p>
        </w:tc>
        <w:tc>
          <w:tcPr>
            <w:tcW w:type="dxa" w:w="117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0.15</w:t>
            </w:r>
          </w:p>
        </w:tc>
        <w:tc>
          <w:tcPr>
            <w:tcW w:type="dxa" w:w="192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0.24, -0.01, 0.15</w:t>
            </w:r>
          </w:p>
        </w:tc>
        <w:tc>
          <w:tcPr>
            <w:tcW w:type="dxa" w:w="22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0.5297 → 0.5279 → 0.5273</w:t>
            </w:r>
          </w:p>
        </w:tc>
      </w:tr>
      <w:tr>
        <w:trPr>
          <w:cantSplit/>
          <w:tblHeader w:val="false"/>
        </w:trPr>
        <w:tc>
          <w:tcPr>
            <w:tcW w:type="dxa" w:w="128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8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0.6368</w:t>
            </w:r>
          </w:p>
        </w:tc>
        <w:tc>
          <w:tcPr>
            <w:tcW w:type="dxa" w:w="107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2.104</w:t>
            </w:r>
          </w:p>
        </w:tc>
        <w:tc>
          <w:tcPr>
            <w:tcW w:type="dxa" w:w="107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0.00000</w:t>
            </w:r>
          </w:p>
        </w:tc>
        <w:tc>
          <w:tcPr>
            <w:tcW w:type="dxa" w:w="117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0.23</w:t>
            </w:r>
          </w:p>
        </w:tc>
        <w:tc>
          <w:tcPr>
            <w:tcW w:type="dxa" w:w="192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0.15, 0.10, -0.04</w:t>
            </w:r>
          </w:p>
        </w:tc>
        <w:tc>
          <w:tcPr>
            <w:tcW w:type="dxa" w:w="224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0.5643 → 0.5639 → 0.5638</w:t>
            </w:r>
          </w:p>
        </w:tc>
      </w:tr>
    </w:tbl>
    <w:p>
      <w:pPr>
        <w:keepNext/>
        <w:spacing w:after="60" w:before="120"/>
      </w:pPr>
      <w:r>
        <w:rPr>
          <w:i/>
          <w:iCs/>
          <w:color w:val="4A4D52"/>
          <w:sz w:val="17"/>
          <w:szCs w:val="17"/>
        </w:rPr>
        <w:t xml:space="preserve">Table 3. Collector efficiency correlations (aperture 0.528 m², incident irradiance)</w:t>
      </w:r>
    </w:p>
    <w:p>
      <w:pPr>
        <w:spacing w:after="120" w:before="0" w:line="276" w:lineRule="auto"/>
      </w:pPr>
      <w:r>
        <w:t xml:space="preserve">Parallel's unconstrained a2 was slightly negative (−0.0006), which is unphysical. It was refitted with a2 = 0; both fits are on record. The heat-loss coefficient a1 ≈ 2 W/m²K is very low because of the TIM, PCM and VIP stack. η0 ≈ 0.60–0.64 is set mainly by the optical factor 0.6489. Wind changes efficiency by less than 0.3 points, so no wind term was fitted. The fit covers Tm − Ta from −3 to 40 K.</w:t>
      </w:r>
    </w:p>
    <w:p>
      <w:pPr>
        <w:spacing w:after="40" w:before="160"/>
        <w:jc w:val="center"/>
      </w:pPr>
      <w:r>
        <w:drawing>
          <wp:inline distT="0" distB="0" distL="0" distR="0">
            <wp:extent cx="380047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00475" cy="2457450"/>
                    </a:xfrm>
                    <a:prstGeom prst="rect">
                      <a:avLst/>
                    </a:prstGeom>
                  </pic:spPr>
                </pic:pic>
              </a:graphicData>
            </a:graphic>
          </wp:inline>
        </w:drawing>
      </w:r>
    </w:p>
    <w:p>
      <w:pPr>
        <w:spacing w:after="240" w:before="60"/>
        <w:jc w:val="center"/>
      </w:pPr>
      <w:r>
        <w:rPr>
          <w:i/>
          <w:iCs/>
          <w:color w:val="4A4D52"/>
          <w:sz w:val="17"/>
          <w:szCs w:val="17"/>
        </w:rPr>
        <w:t xml:space="preserve">Figure 18. Efficiency curves</w:t>
      </w:r>
    </w:p>
    <w:p>
      <w:pPr>
        <w:pStyle w:val="Heading2"/>
        <w:keepNext/>
        <w:spacing w:after="120" w:before="280"/>
      </w:pPr>
      <w:r>
        <w:t xml:space="preserve">4.2 Dynamic collector and tank model</w:t>
      </w:r>
    </w:p>
    <w:p>
      <w:pPr>
        <w:pStyle w:val="ListParagraph"/>
        <w:numPr>
          <w:ilvl w:val="0"/>
          <w:numId w:val="2"/>
        </w:numPr>
        <w:spacing w:after="80" w:before="0" w:line="276" w:lineRule="auto"/>
      </w:pPr>
      <w:r>
        <w:t xml:space="preserve">Collector: one thermal node in the ISO 9806 quasi-dynamic form. Effective capacity 33.5 kJ/m²K from the stack masses (PCM counted as sensible heat only — PCM latent heat is deferred).</w:t>
      </w:r>
    </w:p>
    <w:p>
      <w:pPr>
        <w:pStyle w:val="ListParagraph"/>
        <w:numPr>
          <w:ilvl w:val="0"/>
          <w:numId w:val="2"/>
        </w:numPr>
        <w:spacing w:after="80" w:before="0" w:line="276" w:lineRule="auto"/>
      </w:pPr>
      <w:r>
        <w:t xml:space="preserve">Incidence angle modifier: Kb = 1 − 0.10(1/cos θ − 1), diffuse 0.90 (ENGINEERING_ASSUMPTION; the solver has no angular optics).</w:t>
      </w:r>
    </w:p>
    <w:p>
      <w:pPr>
        <w:pStyle w:val="ListParagraph"/>
        <w:numPr>
          <w:ilvl w:val="0"/>
          <w:numId w:val="2"/>
        </w:numPr>
        <w:spacing w:after="80" w:before="0" w:line="276" w:lineRule="auto"/>
      </w:pPr>
      <w:r>
        <w:t xml:space="preserve">Tank: 100 kg, fully mixed, UA 1.5 W/K. Pump control: on at ΔT &gt; 7 K, off below 2 K, off above 358 K. 60 s step. The tank first law closes to 0.000 kWh/yr.</w:t>
      </w:r>
    </w:p>
    <w:p>
      <w:pPr>
        <w:pStyle w:val="ListParagraph"/>
        <w:numPr>
          <w:ilvl w:val="0"/>
          <w:numId w:val="2"/>
        </w:numPr>
        <w:spacing w:after="80" w:before="0" w:line="276" w:lineRule="auto"/>
      </w:pPr>
      <w:r>
        <w:t xml:space="preserve">Load: 100 L/day delivered at 318.15 K through a mixing valve, drawn 40/20/40 % morning/noon/evening; mains water at the 24 h mean ambient temperature; electric top-up at 95 % efficiency.</w:t>
      </w:r>
    </w:p>
    <w:p>
      <w:pPr>
        <w:pStyle w:val="Heading2"/>
        <w:keepNext/>
        <w:spacing w:after="120" w:before="280"/>
      </w:pPr>
      <w:r>
        <w:t xml:space="preserve">4.3 Roadmap Section 11 — GNU Octave implementation</w:t>
      </w:r>
    </w:p>
    <w:p>
      <w:pPr>
        <w:spacing w:after="120" w:before="0" w:line="276" w:lineRule="auto"/>
      </w:pPr>
      <w:r>
        <w:t xml:space="preserve">Section 11 of the roadmap specifies MATLAB/Simulink. No MATLAB or Simulink licence was available, so the system model was also written as MATLAB-compatible .m files and run in GNU Octave 8.4.0 (folder 13_Octave_system_model). It uses the same equations and inputs but its own solar-position routine (NOAA rather than NREL SPA). The results match the Python model: solar fraction within 0.000004, solar heat within 0.003 kWh/yr, cost of heat within 0.00004 Rs/kWh, collector-only yield within 0.004 kWh/m²/yr, peak collector temperature within 0.17 K. The tank energy balance closes to about 1e-12 kWh. No Simulink model exists. The block-diagram part of Section 11 was built in Scilab Xcos instead (Section 4.4).</w:t>
      </w:r>
    </w:p>
    <w:p>
      <w:pPr>
        <w:pStyle w:val="Heading2"/>
        <w:keepNext/>
        <w:spacing w:after="120" w:before="280"/>
      </w:pPr>
      <w:r>
        <w:t xml:space="preserve">4.4 Roadmap Section 11 — block-diagram model in Scilab Xcos</w:t>
      </w:r>
    </w:p>
    <w:p>
      <w:pPr>
        <w:spacing w:after="120" w:before="0" w:line="276" w:lineRule="auto"/>
      </w:pPr>
      <w:r>
        <w:t xml:space="preserve">Simulink needs a MATLAB licence, so the same collector–tank system was drawn as a block diagram in Scilab Xcos 2024.0.0, the free equivalent (folder 14_Xcos_block_diagram_model, file GRAIL_system.zcos). The diagram has 24 blocks:</w:t>
      </w:r>
    </w:p>
    <w:p>
      <w:pPr>
        <w:pStyle w:val="ListParagraph"/>
        <w:numPr>
          <w:ilvl w:val="0"/>
          <w:numId w:val="2"/>
        </w:numPr>
        <w:spacing w:after="80" w:before="0" w:line="276" w:lineRule="auto"/>
      </w:pPr>
      <w:r>
        <w:t xml:space="preserve">Hourly inputs: G_eff, T_amb, T_mains and draw, from the unchanged TMY file.</w:t>
      </w:r>
    </w:p>
    <w:p>
      <w:pPr>
        <w:pStyle w:val="ListParagraph"/>
        <w:numPr>
          <w:ilvl w:val="0"/>
          <w:numId w:val="2"/>
        </w:numPr>
        <w:spacing w:after="80" w:before="0" w:line="276" w:lineRule="auto"/>
      </w:pPr>
      <w:r>
        <w:t xml:space="preserve">Two integrators for the collector and tank temperatures.</w:t>
      </w:r>
    </w:p>
    <w:p>
      <w:pPr>
        <w:pStyle w:val="ListParagraph"/>
        <w:numPr>
          <w:ilvl w:val="0"/>
          <w:numId w:val="2"/>
        </w:numPr>
        <w:spacing w:after="80" w:before="0" w:line="276" w:lineRule="auto"/>
      </w:pPr>
      <w:r>
        <w:t xml:space="preserve">A hysteresis block for the pump (7/2 K) with a 358 K tank limit.</w:t>
      </w:r>
    </w:p>
    <w:p>
      <w:pPr>
        <w:pStyle w:val="ListParagraph"/>
        <w:numPr>
          <w:ilvl w:val="0"/>
          <w:numId w:val="2"/>
        </w:numPr>
        <w:spacing w:after="80" w:before="0" w:line="276" w:lineRule="auto"/>
      </w:pPr>
      <w:r>
        <w:t xml:space="preserve">Expression blocks for the two energy balances and for six heat rates, which are integrated and logged to the workspace.</w:t>
      </w:r>
    </w:p>
    <w:p>
      <w:pPr>
        <w:pStyle w:val="ListParagraph"/>
        <w:numPr>
          <w:ilvl w:val="0"/>
          <w:numId w:val="2"/>
        </w:numPr>
        <w:spacing w:after="80" w:before="0" w:line="276" w:lineRule="auto"/>
      </w:pPr>
      <w:r>
        <w:t xml:space="preserve">The solver is LSodar (tolerance 1e-6, maximum step 60 s). A full year runs in 7–10 s.</w:t>
      </w:r>
    </w:p>
    <w:p>
      <w:pPr>
        <w:spacing w:after="40" w:before="160"/>
        <w:jc w:val="center"/>
      </w:pPr>
      <w:r>
        <w:drawing>
          <wp:inline distT="0" distB="0" distL="0" distR="0">
            <wp:extent cx="58197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9775" cy="2962275"/>
                    </a:xfrm>
                    <a:prstGeom prst="rect">
                      <a:avLst/>
                    </a:prstGeom>
                  </pic:spPr>
                </pic:pic>
              </a:graphicData>
            </a:graphic>
          </wp:inline>
        </w:drawing>
      </w:r>
    </w:p>
    <w:p>
      <w:pPr>
        <w:spacing w:after="240" w:before="60"/>
        <w:jc w:val="center"/>
      </w:pPr>
      <w:r>
        <w:rPr>
          <w:i/>
          <w:iCs/>
          <w:color w:val="4A4D52"/>
          <w:sz w:val="17"/>
          <w:szCs w:val="17"/>
        </w:rPr>
        <w:t xml:space="preserve">Figure 18a. GRAIL SDHW system as a Scilab Xcos block diagram</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408"/>
        <w:gridCol w:w="975"/>
        <w:gridCol w:w="1300"/>
        <w:gridCol w:w="1191"/>
        <w:gridCol w:w="1949"/>
        <w:gridCol w:w="1733"/>
        <w:gridCol w:w="1082"/>
      </w:tblGrid>
      <w:tr>
        <w:trPr>
          <w:cantSplit/>
          <w:tblHeader/>
        </w:trPr>
        <w:tc>
          <w:tcPr>
            <w:tcW w:type="dxa" w:w="140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97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Modules</w:t>
            </w:r>
          </w:p>
        </w:tc>
        <w:tc>
          <w:tcPr>
            <w:tcW w:type="dxa" w:w="130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Solar kWh/yr</w:t>
            </w:r>
          </w:p>
        </w:tc>
        <w:tc>
          <w:tcPr>
            <w:tcW w:type="dxa" w:w="119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SF Xcos %</w:t>
            </w:r>
          </w:p>
        </w:tc>
        <w:tc>
          <w:tcPr>
            <w:tcW w:type="dxa" w:w="194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SF Octave (same equations) %</w:t>
            </w:r>
          </w:p>
        </w:tc>
        <w:tc>
          <w:tcPr>
            <w:tcW w:type="dxa" w:w="173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SF Stage 7 baseline %</w:t>
            </w:r>
          </w:p>
        </w:tc>
        <w:tc>
          <w:tcPr>
            <w:tcW w:type="dxa" w:w="108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Max Tc K</w:t>
            </w:r>
          </w:p>
        </w:tc>
      </w:tr>
      <w:tr>
        <w:trPr>
          <w:cantSplit/>
          <w:tblHeader w:val="false"/>
        </w:trPr>
        <w:tc>
          <w:tcPr>
            <w:tcW w:type="dxa" w:w="14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w:t>
            </w:r>
          </w:p>
        </w:tc>
        <w:tc>
          <w:tcPr>
            <w:tcW w:type="dxa" w:w="130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626.0</w:t>
            </w:r>
          </w:p>
        </w:tc>
        <w:tc>
          <w:tcPr>
            <w:tcW w:type="dxa" w:w="119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81.42</w:t>
            </w:r>
          </w:p>
        </w:tc>
        <w:tc>
          <w:tcPr>
            <w:tcW w:type="dxa" w:w="194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81.46</w:t>
            </w:r>
          </w:p>
        </w:tc>
        <w:tc>
          <w:tcPr>
            <w:tcW w:type="dxa" w:w="173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83.04</w:t>
            </w:r>
          </w:p>
        </w:tc>
        <w:tc>
          <w:tcPr>
            <w:tcW w:type="dxa" w:w="108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348.0</w:t>
            </w:r>
          </w:p>
        </w:tc>
      </w:tr>
      <w:tr>
        <w:trPr>
          <w:cantSplit/>
          <w:tblHeader w:val="false"/>
        </w:trPr>
        <w:tc>
          <w:tcPr>
            <w:tcW w:type="dxa" w:w="14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w:t>
            </w:r>
          </w:p>
        </w:tc>
        <w:tc>
          <w:tcPr>
            <w:tcW w:type="dxa" w:w="130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648.4</w:t>
            </w:r>
          </w:p>
        </w:tc>
        <w:tc>
          <w:tcPr>
            <w:tcW w:type="dxa" w:w="119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84.34</w:t>
            </w:r>
          </w:p>
        </w:tc>
        <w:tc>
          <w:tcPr>
            <w:tcW w:type="dxa" w:w="194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84.36</w:t>
            </w:r>
          </w:p>
        </w:tc>
        <w:tc>
          <w:tcPr>
            <w:tcW w:type="dxa" w:w="173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85.84</w:t>
            </w:r>
          </w:p>
        </w:tc>
        <w:tc>
          <w:tcPr>
            <w:tcW w:type="dxa" w:w="108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352.0</w:t>
            </w:r>
          </w:p>
        </w:tc>
      </w:tr>
      <w:tr>
        <w:trPr>
          <w:cantSplit/>
          <w:tblHeader w:val="false"/>
        </w:trPr>
        <w:tc>
          <w:tcPr>
            <w:tcW w:type="dxa" w:w="140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w:t>
            </w:r>
          </w:p>
        </w:tc>
        <w:tc>
          <w:tcPr>
            <w:tcW w:type="dxa" w:w="130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749.7</w:t>
            </w:r>
          </w:p>
        </w:tc>
        <w:tc>
          <w:tcPr>
            <w:tcW w:type="dxa" w:w="119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97.51</w:t>
            </w:r>
          </w:p>
        </w:tc>
        <w:tc>
          <w:tcPr>
            <w:tcW w:type="dxa" w:w="194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97.52</w:t>
            </w:r>
          </w:p>
        </w:tc>
        <w:tc>
          <w:tcPr>
            <w:tcW w:type="dxa" w:w="173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97.91</w:t>
            </w:r>
          </w:p>
        </w:tc>
        <w:tc>
          <w:tcPr>
            <w:tcW w:type="dxa" w:w="108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429.8</w:t>
            </w:r>
          </w:p>
        </w:tc>
      </w:tr>
      <w:tr>
        <w:trPr>
          <w:cantSplit/>
          <w:tblHeader w:val="false"/>
        </w:trPr>
        <w:tc>
          <w:tcPr>
            <w:tcW w:type="dxa" w:w="140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w:t>
            </w:r>
          </w:p>
        </w:tc>
        <w:tc>
          <w:tcPr>
            <w:tcW w:type="dxa" w:w="130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754.1</w:t>
            </w:r>
          </w:p>
        </w:tc>
        <w:tc>
          <w:tcPr>
            <w:tcW w:type="dxa" w:w="119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98.08</w:t>
            </w:r>
          </w:p>
        </w:tc>
        <w:tc>
          <w:tcPr>
            <w:tcW w:type="dxa" w:w="194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98.08</w:t>
            </w:r>
          </w:p>
        </w:tc>
        <w:tc>
          <w:tcPr>
            <w:tcW w:type="dxa" w:w="173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98.43</w:t>
            </w:r>
          </w:p>
        </w:tc>
        <w:tc>
          <w:tcPr>
            <w:tcW w:type="dxa" w:w="108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443.8</w:t>
            </w:r>
          </w:p>
        </w:tc>
      </w:tr>
    </w:tbl>
    <w:p>
      <w:pPr>
        <w:keepNext/>
        <w:spacing w:after="60" w:before="120"/>
      </w:pPr>
      <w:r>
        <w:rPr>
          <w:i/>
          <w:iCs/>
          <w:color w:val="4A4D52"/>
          <w:sz w:val="17"/>
          <w:szCs w:val="17"/>
        </w:rPr>
        <w:t xml:space="preserve">Table 3a. Xcos results and verification (Berhampur TMY, 100 L/day at 45 °C)</w:t>
      </w:r>
    </w:p>
    <w:p>
      <w:pPr>
        <w:spacing w:after="120" w:before="0" w:line="276" w:lineRule="auto"/>
      </w:pPr>
      <w:r>
        <w:t xml:space="preserve">Verification (model-to-model only; no experimental validation):</w:t>
      </w:r>
    </w:p>
    <w:p>
      <w:pPr>
        <w:pStyle w:val="ListParagraph"/>
        <w:numPr>
          <w:ilvl w:val="0"/>
          <w:numId w:val="2"/>
        </w:numPr>
        <w:spacing w:after="80" w:before="0" w:line="276" w:lineRule="auto"/>
      </w:pPr>
      <w:r>
        <w:t xml:space="preserve">Against an Octave solution of the same equations at a 10 s step, solar heat agrees within 0.04 % and solar fraction within 0.03 points in all four cases.</w:t>
      </w:r>
    </w:p>
    <w:p>
      <w:pPr>
        <w:pStyle w:val="ListParagraph"/>
        <w:numPr>
          <w:ilvl w:val="0"/>
          <w:numId w:val="2"/>
        </w:numPr>
        <w:spacing w:after="80" w:before="0" w:line="276" w:lineRule="auto"/>
      </w:pPr>
      <w:r>
        <w:t xml:space="preserve">The tank first law closes to better than 1e-10 kWh.</w:t>
      </w:r>
    </w:p>
    <w:p>
      <w:pPr>
        <w:pStyle w:val="ListParagraph"/>
        <w:numPr>
          <w:ilvl w:val="0"/>
          <w:numId w:val="2"/>
        </w:numPr>
        <w:spacing w:after="80" w:before="0" w:line="276" w:lineRule="auto"/>
      </w:pPr>
      <w:r>
        <w:t xml:space="preserve">Re-importing the saved .zcos file reproduces the results.</w:t>
      </w:r>
    </w:p>
    <w:p>
      <w:pPr>
        <w:spacing w:after="120" w:before="0" w:line="276" w:lineRule="auto"/>
      </w:pPr>
      <w:r>
        <w:t xml:space="preserve">The Xcos model treats each hour's hot-water draw as a continuous flow; the Stage 7 model draws it as a pulse at the start of the hour. This modelling choice lowers the solar fraction by 1.5–1.6 points at 2 modules and 0.4 points at 4 modules. The ranking (parallel above alternating) and the sizing conclusion (2 modules) are unchanged. The Stage 7 figures remain the reported baseline.</w:t>
      </w:r>
    </w:p>
    <w:p>
      <w:pPr>
        <w:pStyle w:val="Heading1"/>
        <w:pageBreakBefore/>
        <w:spacing w:after="160" w:before="0"/>
      </w:pPr>
      <w:r>
        <w:t xml:space="preserve">5. Stage 7 — Annual and techno-economic analysis, Berhampur</w:t>
      </w:r>
    </w:p>
    <w:p>
      <w:pPr>
        <w:pStyle w:val="Heading2"/>
        <w:keepNext/>
        <w:spacing w:after="120" w:before="280"/>
      </w:pPr>
      <w:r>
        <w:t xml:space="preserve">5.1 Weather processing</w:t>
      </w:r>
    </w:p>
    <w:p>
      <w:pPr>
        <w:pStyle w:val="ListParagraph"/>
        <w:numPr>
          <w:ilvl w:val="0"/>
          <w:numId w:val="2"/>
        </w:numPr>
        <w:spacing w:after="80" w:before="0" w:line="276" w:lineRule="auto"/>
      </w:pPr>
      <w:r>
        <w:t xml:space="preserve">The time alignment was tested, not assumed: GHI = DNI cos z + DHI closes to 0.17 W/m² when the solar position is taken at the stated UTC timestamp, against 14.3 W/m² with a half-hour shift.</w:t>
      </w:r>
    </w:p>
    <w:p>
      <w:pPr>
        <w:pStyle w:val="ListParagraph"/>
        <w:numPr>
          <w:ilvl w:val="0"/>
          <w:numId w:val="2"/>
        </w:numPr>
        <w:spacing w:after="80" w:before="0" w:line="276" w:lineRule="auto"/>
      </w:pPr>
      <w:r>
        <w:t xml:space="preserve">Plane of array: 19.3° tilt, facing south, Hay-Davies, albedo 0.2 → 1976 kWh/m²/yr. Isotropic model 1955, Perez 2001; tilts between 15° and 25° are within 0.5 %.</w:t>
      </w:r>
    </w:p>
    <w:p>
      <w:pPr>
        <w:pStyle w:val="ListParagraph"/>
        <w:numPr>
          <w:ilvl w:val="0"/>
          <w:numId w:val="2"/>
        </w:numPr>
        <w:spacing w:after="80" w:before="0" w:line="276" w:lineRule="auto"/>
      </w:pPr>
      <w:r>
        <w:t xml:space="preserve">Cross-check: at 35° tilt the result is 1935 kWh/m²/yr, against 1965 in the PVGIS PV report you downloaded (a different database) — 1.5 % apart.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928"/>
        <w:gridCol w:w="2699"/>
        <w:gridCol w:w="1928"/>
        <w:gridCol w:w="3083"/>
      </w:tblGrid>
      <w:tr>
        <w:trPr>
          <w:cantSplit/>
          <w:tblHeader/>
        </w:trPr>
        <w:tc>
          <w:tcPr>
            <w:tcW w:type="dxa" w:w="192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269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Yield at 40 °C inlet (kWh/m²/yr)</w:t>
            </w:r>
          </w:p>
        </w:tc>
        <w:tc>
          <w:tcPr>
            <w:tcW w:type="dxa" w:w="192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Yield at 60 °C inlet</w:t>
            </w:r>
          </w:p>
        </w:tc>
        <w:tc>
          <w:tcPr>
            <w:tcW w:type="dxa" w:w="308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Annual efficiency on POA at 40 °C</w:t>
            </w:r>
          </w:p>
        </w:tc>
      </w:tr>
      <w:tr>
        <w:trPr>
          <w:cantSplit/>
          <w:tblHeader w:val="false"/>
        </w:trPr>
        <w:tc>
          <w:tcPr>
            <w:tcW w:type="dxa" w:w="192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269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1030</w:t>
            </w:r>
          </w:p>
        </w:tc>
        <w:tc>
          <w:tcPr>
            <w:tcW w:type="dxa" w:w="192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882</w:t>
            </w:r>
          </w:p>
        </w:tc>
        <w:tc>
          <w:tcPr>
            <w:tcW w:type="dxa" w:w="308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52.1 %</w:t>
            </w:r>
          </w:p>
        </w:tc>
      </w:tr>
      <w:tr>
        <w:trPr>
          <w:cantSplit/>
          <w:tblHeader w:val="false"/>
        </w:trPr>
        <w:tc>
          <w:tcPr>
            <w:tcW w:type="dxa" w:w="192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269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965</w:t>
            </w:r>
          </w:p>
        </w:tc>
        <w:tc>
          <w:tcPr>
            <w:tcW w:type="dxa" w:w="192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823</w:t>
            </w:r>
          </w:p>
        </w:tc>
        <w:tc>
          <w:tcPr>
            <w:tcW w:type="dxa" w:w="308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48.8 %</w:t>
            </w:r>
          </w:p>
        </w:tc>
      </w:tr>
    </w:tbl>
    <w:p>
      <w:pPr>
        <w:keepNext/>
        <w:spacing w:after="60" w:before="120"/>
      </w:pPr>
      <w:r>
        <w:rPr>
          <w:i/>
          <w:iCs/>
          <w:color w:val="4A4D52"/>
          <w:sz w:val="17"/>
          <w:szCs w:val="17"/>
        </w:rPr>
        <w:t xml:space="preserve">Table 4. Collector-only annual yield at fixed inlet temperature</w:t>
      </w:r>
    </w:p>
    <w:p>
      <w:pPr>
        <w:spacing w:after="40" w:before="160"/>
        <w:jc w:val="center"/>
      </w:pPr>
      <w:r>
        <w:drawing>
          <wp:inline distT="0" distB="0" distL="0" distR="0">
            <wp:extent cx="61245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1590675"/>
                    </a:xfrm>
                    <a:prstGeom prst="rect">
                      <a:avLst/>
                    </a:prstGeom>
                  </pic:spPr>
                </pic:pic>
              </a:graphicData>
            </a:graphic>
          </wp:inline>
        </w:drawing>
      </w:r>
    </w:p>
    <w:p>
      <w:pPr>
        <w:spacing w:after="240" w:before="60"/>
        <w:jc w:val="center"/>
      </w:pPr>
      <w:r>
        <w:rPr>
          <w:i/>
          <w:iCs/>
          <w:color w:val="4A4D52"/>
          <w:sz w:val="17"/>
          <w:szCs w:val="17"/>
        </w:rPr>
        <w:t xml:space="preserve">Figure 19. Monthly yield, sizing and cost of heat</w:t>
      </w:r>
    </w:p>
    <w:p>
      <w:pPr>
        <w:pStyle w:val="Heading2"/>
        <w:keepNext/>
        <w:spacing w:after="120" w:before="280"/>
      </w:pPr>
      <w:r>
        <w:t xml:space="preserve">5.2 Household system sizing and economics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191"/>
        <w:gridCol w:w="758"/>
        <w:gridCol w:w="758"/>
        <w:gridCol w:w="975"/>
        <w:gridCol w:w="1083"/>
        <w:gridCol w:w="975"/>
        <w:gridCol w:w="975"/>
        <w:gridCol w:w="866"/>
        <w:gridCol w:w="975"/>
        <w:gridCol w:w="1082"/>
      </w:tblGrid>
      <w:tr>
        <w:trPr>
          <w:cantSplit/>
          <w:tblHeader/>
        </w:trPr>
        <w:tc>
          <w:tcPr>
            <w:tcW w:type="dxa" w:w="11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75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Modules</w:t>
            </w:r>
          </w:p>
        </w:tc>
        <w:tc>
          <w:tcPr>
            <w:tcW w:type="dxa" w:w="75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Area m²</w:t>
            </w:r>
          </w:p>
        </w:tc>
        <w:tc>
          <w:tcPr>
            <w:tcW w:type="dxa" w:w="97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Solar fraction</w:t>
            </w:r>
          </w:p>
        </w:tc>
        <w:tc>
          <w:tcPr>
            <w:tcW w:type="dxa" w:w="108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Solar heat kWh/yr</w:t>
            </w:r>
          </w:p>
        </w:tc>
        <w:tc>
          <w:tcPr>
            <w:tcW w:type="dxa" w:w="97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Max collector K</w:t>
            </w:r>
          </w:p>
        </w:tc>
        <w:tc>
          <w:tcPr>
            <w:tcW w:type="dxa" w:w="97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Capex Rs</w:t>
            </w:r>
          </w:p>
        </w:tc>
        <w:tc>
          <w:tcPr>
            <w:tcW w:type="dxa" w:w="866"/>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Payback yr</w:t>
            </w:r>
          </w:p>
        </w:tc>
        <w:tc>
          <w:tcPr>
            <w:tcW w:type="dxa" w:w="97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NPV Rs</w:t>
            </w:r>
          </w:p>
        </w:tc>
        <w:tc>
          <w:tcPr>
            <w:tcW w:type="dxa" w:w="108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Cost of heat Rs/kWh</w:t>
            </w:r>
          </w:p>
        </w:tc>
      </w:tr>
      <w:tr>
        <w:trPr>
          <w:cantSplit/>
          <w:tblHeader w:val="false"/>
        </w:trPr>
        <w:tc>
          <w:tcPr>
            <w:tcW w:type="dxa" w:w="11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75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w:t>
            </w:r>
          </w:p>
        </w:tc>
        <w:tc>
          <w:tcPr>
            <w:tcW w:type="dxa" w:w="75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0.53</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50.0 %</w:t>
            </w:r>
          </w:p>
        </w:tc>
        <w:tc>
          <w:tcPr>
            <w:tcW w:type="dxa" w:w="108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385</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329</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16500</w:t>
            </w:r>
          </w:p>
        </w:tc>
        <w:tc>
          <w:tcPr>
            <w:tcW w:type="dxa" w:w="86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10.8</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-3464</w:t>
            </w:r>
          </w:p>
        </w:tc>
        <w:tc>
          <w:tcPr>
            <w:tcW w:type="dxa" w:w="108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6.00</w:t>
            </w:r>
          </w:p>
        </w:tc>
      </w:tr>
      <w:tr>
        <w:trPr>
          <w:cantSplit/>
          <w:tblHeader w:val="false"/>
        </w:trPr>
        <w:tc>
          <w:tcPr>
            <w:tcW w:type="dxa" w:w="11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75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w:t>
            </w:r>
          </w:p>
        </w:tc>
        <w:tc>
          <w:tcPr>
            <w:tcW w:type="dxa" w:w="75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1.06</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83.0 %</w:t>
            </w:r>
          </w:p>
        </w:tc>
        <w:tc>
          <w:tcPr>
            <w:tcW w:type="dxa" w:w="108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638</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349</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21000</w:t>
            </w:r>
          </w:p>
        </w:tc>
        <w:tc>
          <w:tcPr>
            <w:tcW w:type="dxa" w:w="86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7.6</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2526</w:t>
            </w:r>
          </w:p>
        </w:tc>
        <w:tc>
          <w:tcPr>
            <w:tcW w:type="dxa" w:w="108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4.49</w:t>
            </w:r>
          </w:p>
        </w:tc>
      </w:tr>
      <w:tr>
        <w:trPr>
          <w:cantSplit/>
          <w:tblHeader w:val="false"/>
        </w:trPr>
        <w:tc>
          <w:tcPr>
            <w:tcW w:type="dxa" w:w="11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75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w:t>
            </w:r>
          </w:p>
        </w:tc>
        <w:tc>
          <w:tcPr>
            <w:tcW w:type="dxa" w:w="75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1.58</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94.7 %</w:t>
            </w:r>
          </w:p>
        </w:tc>
        <w:tc>
          <w:tcPr>
            <w:tcW w:type="dxa" w:w="108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728</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389</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25500</w:t>
            </w:r>
          </w:p>
        </w:tc>
        <w:tc>
          <w:tcPr>
            <w:tcW w:type="dxa" w:w="86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8.0</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1620</w:t>
            </w:r>
          </w:p>
        </w:tc>
        <w:tc>
          <w:tcPr>
            <w:tcW w:type="dxa" w:w="108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4.69</w:t>
            </w:r>
          </w:p>
        </w:tc>
      </w:tr>
      <w:tr>
        <w:trPr>
          <w:cantSplit/>
          <w:tblHeader w:val="false"/>
        </w:trPr>
        <w:tc>
          <w:tcPr>
            <w:tcW w:type="dxa" w:w="11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75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w:t>
            </w:r>
          </w:p>
        </w:tc>
        <w:tc>
          <w:tcPr>
            <w:tcW w:type="dxa" w:w="75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2.11</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97.9 %</w:t>
            </w:r>
          </w:p>
        </w:tc>
        <w:tc>
          <w:tcPr>
            <w:tcW w:type="dxa" w:w="108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753</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427</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30000</w:t>
            </w:r>
          </w:p>
        </w:tc>
        <w:tc>
          <w:tcPr>
            <w:tcW w:type="dxa" w:w="86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9.2</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-1976</w:t>
            </w:r>
          </w:p>
        </w:tc>
        <w:tc>
          <w:tcPr>
            <w:tcW w:type="dxa" w:w="108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5.25</w:t>
            </w:r>
          </w:p>
        </w:tc>
      </w:tr>
      <w:tr>
        <w:trPr>
          <w:cantSplit/>
          <w:tblHeader w:val="false"/>
        </w:trPr>
        <w:tc>
          <w:tcPr>
            <w:tcW w:type="dxa" w:w="11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75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w:t>
            </w:r>
          </w:p>
        </w:tc>
        <w:tc>
          <w:tcPr>
            <w:tcW w:type="dxa" w:w="75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0.53</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53.2 %</w:t>
            </w:r>
          </w:p>
        </w:tc>
        <w:tc>
          <w:tcPr>
            <w:tcW w:type="dxa" w:w="108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409</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331</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16500</w:t>
            </w:r>
          </w:p>
        </w:tc>
        <w:tc>
          <w:tcPr>
            <w:tcW w:type="dxa" w:w="86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10.1</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-2461</w:t>
            </w:r>
          </w:p>
        </w:tc>
        <w:tc>
          <w:tcPr>
            <w:tcW w:type="dxa" w:w="108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5.65</w:t>
            </w:r>
          </w:p>
        </w:tc>
      </w:tr>
      <w:tr>
        <w:trPr>
          <w:cantSplit/>
          <w:tblHeader w:val="false"/>
        </w:trPr>
        <w:tc>
          <w:tcPr>
            <w:tcW w:type="dxa" w:w="11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75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w:t>
            </w:r>
          </w:p>
        </w:tc>
        <w:tc>
          <w:tcPr>
            <w:tcW w:type="dxa" w:w="75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1.06</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85.8 %</w:t>
            </w:r>
          </w:p>
        </w:tc>
        <w:tc>
          <w:tcPr>
            <w:tcW w:type="dxa" w:w="108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660</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353</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21000</w:t>
            </w:r>
          </w:p>
        </w:tc>
        <w:tc>
          <w:tcPr>
            <w:tcW w:type="dxa" w:w="86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7.4</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3435</w:t>
            </w:r>
          </w:p>
        </w:tc>
        <w:tc>
          <w:tcPr>
            <w:tcW w:type="dxa" w:w="108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4.34</w:t>
            </w:r>
          </w:p>
        </w:tc>
      </w:tr>
      <w:tr>
        <w:trPr>
          <w:cantSplit/>
          <w:tblHeader w:val="false"/>
        </w:trPr>
        <w:tc>
          <w:tcPr>
            <w:tcW w:type="dxa" w:w="11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75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w:t>
            </w:r>
          </w:p>
        </w:tc>
        <w:tc>
          <w:tcPr>
            <w:tcW w:type="dxa" w:w="75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1.58</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96.0 %</w:t>
            </w:r>
          </w:p>
        </w:tc>
        <w:tc>
          <w:tcPr>
            <w:tcW w:type="dxa" w:w="108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738</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405</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25500</w:t>
            </w:r>
          </w:p>
        </w:tc>
        <w:tc>
          <w:tcPr>
            <w:tcW w:type="dxa" w:w="866"/>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7.9</w:t>
            </w:r>
          </w:p>
        </w:tc>
        <w:tc>
          <w:tcPr>
            <w:tcW w:type="dxa" w:w="97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2053</w:t>
            </w:r>
          </w:p>
        </w:tc>
        <w:tc>
          <w:tcPr>
            <w:tcW w:type="dxa" w:w="108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4.62</w:t>
            </w:r>
          </w:p>
        </w:tc>
      </w:tr>
      <w:tr>
        <w:trPr>
          <w:cantSplit/>
          <w:tblHeader w:val="false"/>
        </w:trPr>
        <w:tc>
          <w:tcPr>
            <w:tcW w:type="dxa" w:w="11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parallel</w:t>
            </w:r>
          </w:p>
        </w:tc>
        <w:tc>
          <w:tcPr>
            <w:tcW w:type="dxa" w:w="75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w:t>
            </w:r>
          </w:p>
        </w:tc>
        <w:tc>
          <w:tcPr>
            <w:tcW w:type="dxa" w:w="75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2.11</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98.4 %</w:t>
            </w:r>
          </w:p>
        </w:tc>
        <w:tc>
          <w:tcPr>
            <w:tcW w:type="dxa" w:w="108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757</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442</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30000</w:t>
            </w:r>
          </w:p>
        </w:tc>
        <w:tc>
          <w:tcPr>
            <w:tcW w:type="dxa" w:w="866"/>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9.1</w:t>
            </w:r>
          </w:p>
        </w:tc>
        <w:tc>
          <w:tcPr>
            <w:tcW w:type="dxa" w:w="97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-1748</w:t>
            </w:r>
          </w:p>
        </w:tc>
        <w:tc>
          <w:tcPr>
            <w:tcW w:type="dxa" w:w="108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5.22</w:t>
            </w:r>
          </w:p>
        </w:tc>
      </w:tr>
    </w:tbl>
    <w:p>
      <w:pPr>
        <w:keepNext/>
        <w:spacing w:after="60" w:before="120"/>
      </w:pPr>
      <w:r>
        <w:rPr>
          <w:i/>
          <w:iCs/>
          <w:color w:val="4A4D52"/>
          <w:sz w:val="17"/>
          <w:szCs w:val="17"/>
        </w:rPr>
        <w:t xml:space="preserve">Table 5. Sizing sweep for a 100 L/day household (15 years, 8 % discount rate, 1 % O&amp;M, 15 W pump)</w:t>
      </w:r>
    </w:p>
    <w:p>
      <w:pPr>
        <w:pStyle w:val="ListParagraph"/>
        <w:numPr>
          <w:ilvl w:val="0"/>
          <w:numId w:val="2"/>
        </w:numPr>
        <w:spacing w:after="80" w:before="0" w:line="276" w:lineRule="auto"/>
      </w:pPr>
      <w:r>
        <w:t xml:space="preserve">Tariff: TPSODL domestic 470 paise/kWh (51–200 kWh slab), unchanged for FY 2026-27; electricity duty excluded (conservative). At the 570 paise slab, savings rise by 21 %.</w:t>
      </w:r>
    </w:p>
    <w:p>
      <w:pPr>
        <w:pStyle w:val="ListParagraph"/>
        <w:numPr>
          <w:ilvl w:val="0"/>
          <w:numId w:val="2"/>
        </w:numPr>
        <w:spacing w:after="80" w:before="0" w:line="276" w:lineRule="auto"/>
      </w:pPr>
      <w:r>
        <w:t xml:space="preserve">Capex: ENGINEERING_ASSUMPTION of Rs 12,000 fixed + Rs 4,500 per module, anchored to market flat-plate systems (Rs 20,000–30,000 for 100 L/day plus Rs 3,000–10,000 installation). The GRAIL prototype cost is unknown; the base case (4 modules) is also run at Rs 22,000 and Rs 45,000 in stage7_results.json.</w:t>
      </w:r>
    </w:p>
    <w:p>
      <w:pPr>
        <w:pStyle w:val="ListParagraph"/>
        <w:numPr>
          <w:ilvl w:val="0"/>
          <w:numId w:val="2"/>
        </w:numPr>
        <w:spacing w:after="80" w:before="0" w:line="276" w:lineRule="auto"/>
      </w:pPr>
      <w:r>
        <w:t xml:space="preserve">Two modules minimise the cost of heat. Four modules are oversized: the tank sits at its limit for 533–726 h/yr, 40 % of the collected heat is lost from the tank, and the collector stagnates at high temperature.</w:t>
      </w:r>
    </w:p>
    <w:p>
      <w:pPr>
        <w:pStyle w:val="Heading1"/>
        <w:pageBreakBefore/>
        <w:spacing w:after="160" w:before="0"/>
      </w:pPr>
      <w:r>
        <w:t xml:space="preserve">6. Assumptions, open items and files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506"/>
        <w:gridCol w:w="7132"/>
      </w:tblGrid>
      <w:tr>
        <w:trPr>
          <w:cantSplit/>
          <w:tblHeader/>
        </w:trPr>
        <w:tc>
          <w:tcPr>
            <w:tcW w:type="dxa" w:w="25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Tag</w:t>
            </w:r>
          </w:p>
        </w:tc>
        <w:tc>
          <w:tcPr>
            <w:tcW w:type="dxa" w:w="713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Item</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w:t>
            </w:r>
          </w:p>
        </w:tc>
        <w:tc>
          <w:tcPr>
            <w:tcW w:type="dxa" w:w="713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Tilt 19.3° S; IAM b0 0.10; C_eff 33.5 kJ/m²K; tank 100 kg, UA 1.5 W/K; 100 L/day at 45 °C; draw profile; mains = 24 h mean ambient; pump 15 W; geyser 95 %; capex model; 15 yr, 8 %, 1 % O&amp;M</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ENGINEERING_ASSUMPTION</w:t>
            </w:r>
          </w:p>
        </w:tc>
        <w:tc>
          <w:tcPr>
            <w:tcW w:type="dxa" w:w="713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NSGA-II reference operating point; design flow 2.75 g/s for the annual runs</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DESIGN_REVIEW_REQUIRED</w:t>
            </w:r>
          </w:p>
        </w:tc>
        <w:tc>
          <w:tcPr>
            <w:tcW w:type="dxa" w:w="713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Converging-channel benefit (not supported for efficiency within the range studied)</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DESIGN_REVIEW_REQUIRED</w:t>
            </w:r>
          </w:p>
        </w:tc>
        <w:tc>
          <w:tcPr>
            <w:tcW w:type="dxa" w:w="713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Stagnation temperature against TIM and PCM limits for arrays of 3 or more modules; overheat protection</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Deferred (your decision)</w:t>
            </w:r>
          </w:p>
        </w:tc>
        <w:tc>
          <w:tcPr>
            <w:tcW w:type="dxa" w:w="713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PCM latent heat, 3-D radiation and optical model, full 3-D campaign; manifold dimensions</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Limitation</w:t>
            </w:r>
          </w:p>
        </w:tc>
        <w:tc>
          <w:tcPr>
            <w:tcW w:type="dxa" w:w="713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Annual results rely on the fitted correlation outside its fitted range only during stagnation hours; wind above 5 m/s (1,605 h) is outside the trained range but has less than 0.3 points of effect</w:t>
            </w:r>
          </w:p>
        </w:tc>
      </w:tr>
    </w:tbl>
    <w:p>
      <w:pPr>
        <w:spacing w:after="2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506"/>
        <w:gridCol w:w="7132"/>
      </w:tblGrid>
      <w:tr>
        <w:trPr>
          <w:cantSplit/>
          <w:tblHeader/>
        </w:trPr>
        <w:tc>
          <w:tcPr>
            <w:tcW w:type="dxa" w:w="25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Folder</w:t>
            </w:r>
          </w:p>
        </w:tc>
        <w:tc>
          <w:tcPr>
            <w:tcW w:type="dxa" w:w="713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Contents</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21_surrogate</w:t>
            </w:r>
          </w:p>
        </w:tc>
        <w:tc>
          <w:tcPr>
            <w:tcW w:type="dxa" w:w="713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ann_surrogate.pkl, stage3_report.json, test parity CSVs, SHAP arrays</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23_optimisation</w:t>
            </w:r>
          </w:p>
        </w:tc>
        <w:tc>
          <w:tcPr>
            <w:tcW w:type="dxa" w:w="713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pareto_fronts.csv, selected_points_surrogate.csv, verification_vs_GRAIL-CHT.csv</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22_system</w:t>
            </w:r>
          </w:p>
        </w:tc>
        <w:tc>
          <w:tcPr>
            <w:tcW w:type="dxa" w:w="713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virtual_test_matrix.csv, efficiency_correlations.json</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20_annual</w:t>
            </w:r>
          </w:p>
        </w:tc>
        <w:tc>
          <w:tcPr>
            <w:tcW w:type="dxa" w:w="713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weather file (unchanged), closure test, stage7_results.json, sizing_sweep.csv, hourly SDHW CSVs, monthly yield</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24_figures_stage3to7</w:t>
            </w:r>
          </w:p>
        </w:tc>
        <w:tc>
          <w:tcPr>
            <w:tcW w:type="dxa" w:w="713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F15–F19</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13_Octave_system_model</w:t>
            </w:r>
          </w:p>
        </w:tc>
        <w:tc>
          <w:tcPr>
            <w:tcW w:type="dxa" w:w="713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MATLAB/Octave .m model, compare_with_python.m (PASS), continuous-draw reference for Xcos, README</w:t>
            </w:r>
          </w:p>
        </w:tc>
      </w:tr>
      <w:tr>
        <w:trPr>
          <w:cantSplit/>
          <w:tblHeader w:val="false"/>
        </w:trPr>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14_Xcos_block_diagram_model</w:t>
            </w:r>
          </w:p>
        </w:tc>
        <w:tc>
          <w:tcPr>
            <w:tcW w:type="dxa" w:w="713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GRAIL_system.zcos block diagram, build/run scripts, inputs, results, verification (PASS), README</w:t>
            </w:r>
          </w:p>
        </w:tc>
      </w:tr>
      <w:tr>
        <w:trPr>
          <w:cantSplit/>
          <w:tblHeader w:val="false"/>
        </w:trPr>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tools</w:t>
            </w:r>
          </w:p>
        </w:tc>
        <w:tc>
          <w:tcPr>
            <w:tcW w:type="dxa" w:w="713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stage3_ann.py, stage5_nsga2.py, stage5_verify.py, cht_point.py, stage6_testmatrix.py, stage6_fit.py, stage7_weather.py, stage7_annual.py, stage3to7_figures.py</w:t>
            </w:r>
          </w:p>
        </w:tc>
      </w:tr>
    </w:tbl>
    <w:sectPr>
      <w:headerReference w:type="default" r:id="rId8"/>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D1" w:sz="4" w:space="6"/>
      </w:pBdr>
    </w:pPr>
    <w:r>
      <w:rPr>
        <w:color w:val="4A4D52"/>
        <w:sz w:val="16"/>
        <w:szCs w:val="16"/>
      </w:rPr>
      <w:t xml:space="preserve">GRAIL Collector — Stages 3, 5, 6,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124"/>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B4F7A"/>
      <w:sz w:val="30"/>
      <w:szCs w:val="30"/>
    </w:rPr>
  </w:style>
  <w:style w:type="paragraph" w:styleId="Heading2">
    <w:name w:val="Heading 2"/>
    <w:basedOn w:val="Normal"/>
    <w:next w:val="Normal"/>
    <w:qFormat/>
    <w:pPr>
      <w:spacing w:after="120" w:before="280"/>
    </w:pPr>
    <w:rPr>
      <w:rFonts w:ascii="Calibri" w:cs="Calibri" w:eastAsia="Calibri" w:hAnsi="Calibri"/>
      <w:b/>
      <w:bCs/>
      <w:color w:val="1F2124"/>
      <w:sz w:val="25"/>
      <w:szCs w:val="25"/>
    </w:rPr>
  </w:style>
  <w:style w:type="paragraph" w:styleId="Heading3">
    <w:name w:val="Heading 3"/>
    <w:basedOn w:val="Normal"/>
    <w:next w:val="Normal"/>
    <w:qFormat/>
    <w:pPr>
      <w:spacing w:after="100" w:before="220"/>
    </w:pPr>
    <w:rPr>
      <w:rFonts w:ascii="Calibri" w:cs="Calibri" w:eastAsia="Calibri" w:hAnsi="Calibri"/>
      <w:b/>
      <w:bCs/>
      <w:color w:val="4A4D5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1567e7b444c0d149ea5d1a42c2a902bbc39fcc4.png"/><Relationship Id="rId11" Type="http://schemas.openxmlformats.org/officeDocument/2006/relationships/image" Target="media/da05f127ec3357be139628d15c98dd95218ba36a.png"/><Relationship Id="rId12" Type="http://schemas.openxmlformats.org/officeDocument/2006/relationships/image" Target="media/c74b002d71608cf4db32f842abab8983a8ebbff2.png"/><Relationship Id="rId13" Type="http://schemas.openxmlformats.org/officeDocument/2006/relationships/image" Target="media/3b5f4d1b7098b77cf0305fc091f2d4318495a5e1.png"/><Relationship Id="rId14" Type="http://schemas.openxmlformats.org/officeDocument/2006/relationships/image" Target="media/db54ceacd131df847df95262900a34ae287c41b4.png"/><Relationship Id="rId15" Type="http://schemas.openxmlformats.org/officeDocument/2006/relationships/image" Target="media/362e96f5a400cebd9d0224252dc27199c393353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GRAIL Collector — Stages 3, 5, 6, 7</dc:title>
  <dc:creator>GRAIL Collector project</dc:creator>
  <dc:description>Surrogate, optimisation, system model, annual and techno-economic analysis</dc:description>
  <cp:lastModifiedBy>Un-named</cp:lastModifiedBy>
  <cp:revision>1</cp:revision>
  <dcterms:created xsi:type="dcterms:W3CDTF">2026-09-23T13:06:50.027Z</dcterms:created>
  <dcterms:modified xsi:type="dcterms:W3CDTF">2026-09-23T13:06:50.027Z</dcterms:modified>
</cp:coreProperties>
</file>

<file path=docProps/custom.xml><?xml version="1.0" encoding="utf-8"?>
<Properties xmlns="http://schemas.openxmlformats.org/officeDocument/2006/custom-properties" xmlns:vt="http://schemas.openxmlformats.org/officeDocument/2006/docPropsVTypes"/>
</file>