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Severity &amp; Case Classification</w:t>
      </w:r>
    </w:p>
    <w:p>
      <w:pPr>
        <w:spacing w:after="300"/>
        <w:jc w:val="center"/>
      </w:pPr>
      <w:r>
        <w:rPr>
          <w:i/>
          <w:iCs/>
          <w:color w:val="555555"/>
          <w:sz w:val="22"/>
          <w:szCs w:val="22"/>
        </w:rPr>
        <w:t xml:space="preserve">Seriousness and Expectedness Analysis — Task ID: task4</w:t>
      </w:r>
    </w:p>
    <w:p>
      <w:pPr>
        <w:pStyle w:val="Heading1"/>
        <w:spacing w:after="120" w:before="260"/>
      </w:pPr>
      <w:r>
        <w:t xml:space="preserve">Classification Criteria</w:t>
      </w:r>
    </w:p>
    <w:p>
      <w:pPr>
        <w:pStyle w:val="Heading2"/>
        <w:spacing w:after="90" w:before="180"/>
      </w:pPr>
      <w:r>
        <w:t xml:space="preserve">Seriousness (per ICH E2A)</w:t>
      </w:r>
    </w:p>
    <w:p>
      <w:pPr>
        <w:spacing w:after="120"/>
      </w:pPr>
      <w:r>
        <w:t xml:space="preserve">An adverse event is classified as SERIOUS if it results in death, is life-threatening, requires or prolongs hospitalization, causes persistent/significant disability, results in a congenital anomaly, or is otherwise a medically important event. All other reactions are NON-SERIOUS.</w:t>
      </w:r>
    </w:p>
    <w:p>
      <w:pPr>
        <w:pStyle w:val="Heading2"/>
        <w:spacing w:after="90" w:before="180"/>
      </w:pPr>
      <w:r>
        <w:t xml:space="preserve">Expectedness</w:t>
      </w:r>
    </w:p>
    <w:p>
      <w:pPr>
        <w:spacing w:after="120"/>
      </w:pPr>
      <w:r>
        <w:t xml:space="preserve">An adverse event is EXPECTED if its nature, severity, and frequency are consistent with the approved product label / Summary of Product Characteristics (SmPC) or known reference safety information. It is UNEXPECTED if it is not listed, or is more severe/frequent than described, in that reference information.</w:t>
      </w:r>
    </w:p>
    <w:p>
      <w:pPr>
        <w:pStyle w:val="Heading1"/>
        <w:spacing w:after="120" w:before="260"/>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160"/>
        <w:gridCol w:w="1750"/>
        <w:gridCol w:w="1750"/>
      </w:tblGrid>
      <w:tr>
        <w:tc>
          <w:tcPr>
            <w:tcW w:type="dxa" w:w="900"/>
            <w:shd w:fill="1F3864" w:color="auto" w:val="clear"/>
          </w:tcPr>
          <w:p>
            <w:r>
              <w:rPr>
                <w:b/>
                <w:bCs/>
                <w:color w:val="FFFFFF"/>
              </w:rPr>
              <w:t xml:space="preserve">Case</w:t>
            </w:r>
          </w:p>
        </w:tc>
        <w:tc>
          <w:tcPr>
            <w:tcW w:type="dxa" w:w="1800"/>
            <w:shd w:fill="1F3864" w:color="auto" w:val="clear"/>
          </w:tcPr>
          <w:p>
            <w:r>
              <w:rPr>
                <w:b/>
                <w:bCs/>
                <w:color w:val="FFFFFF"/>
              </w:rPr>
              <w:t xml:space="preserve">Drug</w:t>
            </w:r>
          </w:p>
        </w:tc>
        <w:tc>
          <w:tcPr>
            <w:tcW w:type="dxa" w:w="3160"/>
            <w:shd w:fill="1F3864" w:color="auto" w:val="clear"/>
          </w:tcPr>
          <w:p>
            <w:r>
              <w:rPr>
                <w:b/>
                <w:bCs/>
                <w:color w:val="FFFFFF"/>
              </w:rPr>
              <w:t xml:space="preserve">Adverse Reaction</w:t>
            </w:r>
          </w:p>
        </w:tc>
        <w:tc>
          <w:tcPr>
            <w:tcW w:type="dxa" w:w="1750"/>
            <w:shd w:fill="1F3864" w:color="auto" w:val="clear"/>
          </w:tcPr>
          <w:p>
            <w:r>
              <w:rPr>
                <w:b/>
                <w:bCs/>
                <w:color w:val="FFFFFF"/>
              </w:rPr>
              <w:t xml:space="preserve">Seriousness</w:t>
            </w:r>
          </w:p>
        </w:tc>
        <w:tc>
          <w:tcPr>
            <w:tcW w:type="dxa" w:w="1750"/>
            <w:shd w:fill="1F3864" w:color="auto" w:val="clear"/>
          </w:tcPr>
          <w:p>
            <w:r>
              <w:rPr>
                <w:b/>
                <w:bCs/>
                <w:color w:val="FFFFFF"/>
              </w:rPr>
              <w:t xml:space="preserve">Expectedness</w:t>
            </w:r>
          </w:p>
        </w:tc>
      </w:tr>
      <w:tr>
        <w:tc>
          <w:tcPr>
            <w:tcW w:type="dxa" w:w="900"/>
          </w:tcPr>
          <w:p>
            <w:r>
              <w:rPr>
                <w:b w:val="false"/>
                <w:bCs w:val="false"/>
                <w:color w:val="000000"/>
              </w:rPr>
              <w:t xml:space="preserve">01</w:t>
            </w:r>
          </w:p>
        </w:tc>
        <w:tc>
          <w:tcPr>
            <w:tcW w:type="dxa" w:w="1800"/>
          </w:tcPr>
          <w:p>
            <w:r>
              <w:rPr>
                <w:b w:val="false"/>
                <w:bCs w:val="false"/>
                <w:color w:val="000000"/>
              </w:rPr>
              <w:t xml:space="preserve">Amoxicillin</w:t>
            </w:r>
          </w:p>
        </w:tc>
        <w:tc>
          <w:tcPr>
            <w:tcW w:type="dxa" w:w="3160"/>
          </w:tcPr>
          <w:p>
            <w:r>
              <w:rPr>
                <w:b w:val="false"/>
                <w:bCs w:val="false"/>
                <w:color w:val="000000"/>
              </w:rPr>
              <w:t xml:space="preserve">Skin rash, itching</w:t>
            </w:r>
          </w:p>
        </w:tc>
        <w:tc>
          <w:tcPr>
            <w:tcW w:type="dxa" w:w="1750"/>
            <w:shd w:fill="D5F5E3" w:color="auto" w:val="clear"/>
          </w:tcPr>
          <w:p>
            <w:r>
              <w:rPr>
                <w:b w:val="false"/>
                <w:bCs w:val="false"/>
                <w:color w:val="000000"/>
              </w:rPr>
              <w:t xml:space="preserve">Non-Serious</w:t>
            </w:r>
          </w:p>
        </w:tc>
        <w:tc>
          <w:tcPr>
            <w:tcW w:type="dxa" w:w="1750"/>
            <w:shd w:fill="D5F5E3" w:color="auto" w:val="clear"/>
          </w:tcPr>
          <w:p>
            <w:r>
              <w:rPr>
                <w:b w:val="false"/>
                <w:bCs w:val="false"/>
                <w:color w:val="000000"/>
              </w:rPr>
              <w:t xml:space="preserve">Expected</w:t>
            </w:r>
          </w:p>
        </w:tc>
      </w:tr>
      <w:tr>
        <w:tc>
          <w:tcPr>
            <w:tcW w:type="dxa" w:w="900"/>
          </w:tcPr>
          <w:p>
            <w:r>
              <w:rPr>
                <w:b w:val="false"/>
                <w:bCs w:val="false"/>
                <w:color w:val="000000"/>
              </w:rPr>
              <w:t xml:space="preserve">02</w:t>
            </w:r>
          </w:p>
        </w:tc>
        <w:tc>
          <w:tcPr>
            <w:tcW w:type="dxa" w:w="1800"/>
          </w:tcPr>
          <w:p>
            <w:r>
              <w:rPr>
                <w:b w:val="false"/>
                <w:bCs w:val="false"/>
                <w:color w:val="000000"/>
              </w:rPr>
              <w:t xml:space="preserve">Ibuprofen</w:t>
            </w:r>
          </w:p>
        </w:tc>
        <w:tc>
          <w:tcPr>
            <w:tcW w:type="dxa" w:w="3160"/>
          </w:tcPr>
          <w:p>
            <w:r>
              <w:rPr>
                <w:b w:val="false"/>
                <w:bCs w:val="false"/>
                <w:color w:val="000000"/>
              </w:rPr>
              <w:t xml:space="preserve">GI bleeding requiring hospitalization</w:t>
            </w:r>
          </w:p>
        </w:tc>
        <w:tc>
          <w:tcPr>
            <w:tcW w:type="dxa" w:w="1750"/>
            <w:shd w:fill="FADBD8" w:color="auto" w:val="clear"/>
          </w:tcPr>
          <w:p>
            <w:r>
              <w:rPr>
                <w:b w:val="false"/>
                <w:bCs w:val="false"/>
                <w:color w:val="000000"/>
              </w:rPr>
              <w:t xml:space="preserve">Serious</w:t>
            </w:r>
          </w:p>
        </w:tc>
        <w:tc>
          <w:tcPr>
            <w:tcW w:type="dxa" w:w="1750"/>
            <w:shd w:fill="D5F5E3" w:color="auto" w:val="clear"/>
          </w:tcPr>
          <w:p>
            <w:r>
              <w:rPr>
                <w:b w:val="false"/>
                <w:bCs w:val="false"/>
                <w:color w:val="000000"/>
              </w:rPr>
              <w:t xml:space="preserve">Expected</w:t>
            </w:r>
          </w:p>
        </w:tc>
      </w:tr>
      <w:tr>
        <w:tc>
          <w:tcPr>
            <w:tcW w:type="dxa" w:w="900"/>
          </w:tcPr>
          <w:p>
            <w:r>
              <w:rPr>
                <w:b w:val="false"/>
                <w:bCs w:val="false"/>
                <w:color w:val="000000"/>
              </w:rPr>
              <w:t xml:space="preserve">03</w:t>
            </w:r>
          </w:p>
        </w:tc>
        <w:tc>
          <w:tcPr>
            <w:tcW w:type="dxa" w:w="1800"/>
          </w:tcPr>
          <w:p>
            <w:r>
              <w:rPr>
                <w:b w:val="false"/>
                <w:bCs w:val="false"/>
                <w:color w:val="000000"/>
              </w:rPr>
              <w:t xml:space="preserve">Metformin</w:t>
            </w:r>
          </w:p>
        </w:tc>
        <w:tc>
          <w:tcPr>
            <w:tcW w:type="dxa" w:w="3160"/>
          </w:tcPr>
          <w:p>
            <w:r>
              <w:rPr>
                <w:b w:val="false"/>
                <w:bCs w:val="false"/>
                <w:color w:val="000000"/>
              </w:rPr>
              <w:t xml:space="preserve">Lactic acidosis</w:t>
            </w:r>
          </w:p>
        </w:tc>
        <w:tc>
          <w:tcPr>
            <w:tcW w:type="dxa" w:w="1750"/>
            <w:shd w:fill="FADBD8" w:color="auto" w:val="clear"/>
          </w:tcPr>
          <w:p>
            <w:r>
              <w:rPr>
                <w:b w:val="false"/>
                <w:bCs w:val="false"/>
                <w:color w:val="000000"/>
              </w:rPr>
              <w:t xml:space="preserve">Serious</w:t>
            </w:r>
          </w:p>
        </w:tc>
        <w:tc>
          <w:tcPr>
            <w:tcW w:type="dxa" w:w="1750"/>
            <w:shd w:fill="FADBD8" w:color="auto" w:val="clear"/>
          </w:tcPr>
          <w:p>
            <w:r>
              <w:rPr>
                <w:b w:val="false"/>
                <w:bCs w:val="false"/>
                <w:color w:val="000000"/>
              </w:rPr>
              <w:t xml:space="preserve">Unexpected</w:t>
            </w:r>
          </w:p>
        </w:tc>
      </w:tr>
      <w:tr>
        <w:tc>
          <w:tcPr>
            <w:tcW w:type="dxa" w:w="900"/>
          </w:tcPr>
          <w:p>
            <w:r>
              <w:rPr>
                <w:b w:val="false"/>
                <w:bCs w:val="false"/>
                <w:color w:val="000000"/>
              </w:rPr>
              <w:t xml:space="preserve">04</w:t>
            </w:r>
          </w:p>
        </w:tc>
        <w:tc>
          <w:tcPr>
            <w:tcW w:type="dxa" w:w="1800"/>
          </w:tcPr>
          <w:p>
            <w:r>
              <w:rPr>
                <w:b w:val="false"/>
                <w:bCs w:val="false"/>
                <w:color w:val="000000"/>
              </w:rPr>
              <w:t xml:space="preserve">Atorvastatin</w:t>
            </w:r>
          </w:p>
        </w:tc>
        <w:tc>
          <w:tcPr>
            <w:tcW w:type="dxa" w:w="3160"/>
          </w:tcPr>
          <w:p>
            <w:r>
              <w:rPr>
                <w:b w:val="false"/>
                <w:bCs w:val="false"/>
                <w:color w:val="000000"/>
              </w:rPr>
              <w:t xml:space="preserve">Elevated liver enzymes (mild)</w:t>
            </w:r>
          </w:p>
        </w:tc>
        <w:tc>
          <w:tcPr>
            <w:tcW w:type="dxa" w:w="1750"/>
            <w:shd w:fill="D5F5E3" w:color="auto" w:val="clear"/>
          </w:tcPr>
          <w:p>
            <w:r>
              <w:rPr>
                <w:b w:val="false"/>
                <w:bCs w:val="false"/>
                <w:color w:val="000000"/>
              </w:rPr>
              <w:t xml:space="preserve">Non-Serious</w:t>
            </w:r>
          </w:p>
        </w:tc>
        <w:tc>
          <w:tcPr>
            <w:tcW w:type="dxa" w:w="1750"/>
            <w:shd w:fill="D5F5E3" w:color="auto" w:val="clear"/>
          </w:tcPr>
          <w:p>
            <w:r>
              <w:rPr>
                <w:b w:val="false"/>
                <w:bCs w:val="false"/>
                <w:color w:val="000000"/>
              </w:rPr>
              <w:t xml:space="preserve">Expected</w:t>
            </w:r>
          </w:p>
        </w:tc>
      </w:tr>
      <w:tr>
        <w:tc>
          <w:tcPr>
            <w:tcW w:type="dxa" w:w="900"/>
          </w:tcPr>
          <w:p>
            <w:r>
              <w:rPr>
                <w:b w:val="false"/>
                <w:bCs w:val="false"/>
                <w:color w:val="000000"/>
              </w:rPr>
              <w:t xml:space="preserve">05</w:t>
            </w:r>
          </w:p>
        </w:tc>
        <w:tc>
          <w:tcPr>
            <w:tcW w:type="dxa" w:w="1800"/>
          </w:tcPr>
          <w:p>
            <w:r>
              <w:rPr>
                <w:b w:val="false"/>
                <w:bCs w:val="false"/>
                <w:color w:val="000000"/>
              </w:rPr>
              <w:t xml:space="preserve">Levofloxacin</w:t>
            </w:r>
          </w:p>
        </w:tc>
        <w:tc>
          <w:tcPr>
            <w:tcW w:type="dxa" w:w="3160"/>
          </w:tcPr>
          <w:p>
            <w:r>
              <w:rPr>
                <w:b w:val="false"/>
                <w:bCs w:val="false"/>
                <w:color w:val="000000"/>
              </w:rPr>
              <w:t xml:space="preserve">Tendon rupture</w:t>
            </w:r>
          </w:p>
        </w:tc>
        <w:tc>
          <w:tcPr>
            <w:tcW w:type="dxa" w:w="1750"/>
            <w:shd w:fill="FADBD8" w:color="auto" w:val="clear"/>
          </w:tcPr>
          <w:p>
            <w:r>
              <w:rPr>
                <w:b w:val="false"/>
                <w:bCs w:val="false"/>
                <w:color w:val="000000"/>
              </w:rPr>
              <w:t xml:space="preserve">Serious</w:t>
            </w:r>
          </w:p>
        </w:tc>
        <w:tc>
          <w:tcPr>
            <w:tcW w:type="dxa" w:w="1750"/>
            <w:shd w:fill="FADBD8" w:color="auto" w:val="clear"/>
          </w:tcPr>
          <w:p>
            <w:r>
              <w:rPr>
                <w:b w:val="false"/>
                <w:bCs w:val="false"/>
                <w:color w:val="000000"/>
              </w:rPr>
              <w:t xml:space="preserve">Unexpected</w:t>
            </w:r>
          </w:p>
        </w:tc>
      </w:tr>
    </w:tbl>
    <w:p>
      <w:pPr>
        <w:pStyle w:val="Heading1"/>
        <w:spacing w:after="120" w:before="260"/>
      </w:pPr>
      <w:r>
        <w:t xml:space="preserve">Case-by-Case Analysis</w:t>
      </w:r>
    </w:p>
    <w:p>
      <w:pPr>
        <w:pStyle w:val="Heading2"/>
        <w:spacing w:after="90" w:before="180"/>
      </w:pPr>
      <w:r>
        <w:t xml:space="preserve">Case 01 — Amoxicillin</w:t>
      </w:r>
    </w:p>
    <w:p>
      <w:pPr>
        <w:spacing w:after="120"/>
      </w:pPr>
      <w:r>
        <w:rPr>
          <w:b/>
          <w:bCs/>
        </w:rPr>
        <w:t xml:space="preserve">Adverse Reaction: Skin rash, itching</w:t>
      </w:r>
    </w:p>
    <w:p>
      <w:pPr>
        <w:spacing w:after="60"/>
      </w:pPr>
      <w:r>
        <w:rPr>
          <w:b/>
          <w:bCs/>
        </w:rPr>
        <w:t xml:space="preserve">Seriousness: </w:t>
      </w:r>
      <w:r>
        <w:rPr>
          <w:b/>
          <w:bCs/>
          <w:color w:val="2E7D32"/>
        </w:rPr>
        <w:t xml:space="preserve">Non-Serious</w:t>
      </w:r>
    </w:p>
    <w:p>
      <w:pPr>
        <w:spacing w:after="120"/>
      </w:pPr>
      <w:r>
        <w:t xml:space="preserve">Skin rash and itching, without hospitalization, life-threatening features, or lasting disability, do not meet any ICH E2A seriousness criterion.</w:t>
      </w:r>
    </w:p>
    <w:p>
      <w:pPr>
        <w:spacing w:after="60"/>
      </w:pPr>
      <w:r>
        <w:rPr>
          <w:b/>
          <w:bCs/>
        </w:rPr>
        <w:t xml:space="preserve">Expectedness: </w:t>
      </w:r>
      <w:r>
        <w:rPr>
          <w:b/>
          <w:bCs/>
          <w:color w:val="2E7D32"/>
        </w:rPr>
        <w:t xml:space="preserve">Expected</w:t>
      </w:r>
    </w:p>
    <w:p>
      <w:pPr>
        <w:spacing w:after="120"/>
      </w:pPr>
      <w:r>
        <w:t xml:space="preserve">Cutaneous hypersensitivity reactions (rash, pruritus) are well-documented, commonly listed adverse effects of amoxicillin and other beta-lactam antibiotics on the product label.</w:t>
      </w:r>
    </w:p>
    <w:p>
      <w:pPr>
        <w:pStyle w:val="Heading2"/>
        <w:spacing w:after="90" w:before="180"/>
      </w:pPr>
      <w:r>
        <w:t xml:space="preserve">Case 02 — Ibuprofen</w:t>
      </w:r>
    </w:p>
    <w:p>
      <w:pPr>
        <w:spacing w:after="120"/>
      </w:pPr>
      <w:r>
        <w:rPr>
          <w:b/>
          <w:bCs/>
        </w:rPr>
        <w:t xml:space="preserve">Adverse Reaction: Gastrointestinal bleeding requiring hospitalization</w:t>
      </w:r>
    </w:p>
    <w:p>
      <w:pPr>
        <w:spacing w:after="60"/>
      </w:pPr>
      <w:r>
        <w:rPr>
          <w:b/>
          <w:bCs/>
        </w:rPr>
        <w:t xml:space="preserve">Seriousness: </w:t>
      </w:r>
      <w:r>
        <w:rPr>
          <w:b/>
          <w:bCs/>
          <w:color w:val="B03A2E"/>
        </w:rPr>
        <w:t xml:space="preserve">Serious</w:t>
      </w:r>
    </w:p>
    <w:p>
      <w:pPr>
        <w:spacing w:after="120"/>
      </w:pPr>
      <w:r>
        <w:t xml:space="preserve">This event required hospitalization, which is one of the explicit ICH E2A seriousness criteria, regardless of the underlying reaction type.</w:t>
      </w:r>
    </w:p>
    <w:p>
      <w:pPr>
        <w:spacing w:after="60"/>
      </w:pPr>
      <w:r>
        <w:rPr>
          <w:b/>
          <w:bCs/>
        </w:rPr>
        <w:t xml:space="preserve">Expectedness: </w:t>
      </w:r>
      <w:r>
        <w:rPr>
          <w:b/>
          <w:bCs/>
          <w:color w:val="2E7D32"/>
        </w:rPr>
        <w:t xml:space="preserve">Expected</w:t>
      </w:r>
    </w:p>
    <w:p>
      <w:pPr>
        <w:spacing w:after="120"/>
      </w:pPr>
      <w:r>
        <w:t xml:space="preserve">GI bleeding is a well-recognized, labeled risk of NSAIDs such as ibuprofen due to their effect on gastric mucosal protection, even though its occurrence here was severe enough to require admission.</w:t>
      </w:r>
    </w:p>
    <w:p>
      <w:pPr>
        <w:pStyle w:val="Heading2"/>
        <w:spacing w:after="90" w:before="180"/>
      </w:pPr>
      <w:r>
        <w:t xml:space="preserve">Case 03 — Metformin</w:t>
      </w:r>
    </w:p>
    <w:p>
      <w:pPr>
        <w:spacing w:after="120"/>
      </w:pPr>
      <w:r>
        <w:rPr>
          <w:b/>
          <w:bCs/>
        </w:rPr>
        <w:t xml:space="preserve">Adverse Reaction: Lactic acidosis</w:t>
      </w:r>
    </w:p>
    <w:p>
      <w:pPr>
        <w:spacing w:after="60"/>
      </w:pPr>
      <w:r>
        <w:rPr>
          <w:b/>
          <w:bCs/>
        </w:rPr>
        <w:t xml:space="preserve">Seriousness: </w:t>
      </w:r>
      <w:r>
        <w:rPr>
          <w:b/>
          <w:bCs/>
          <w:color w:val="B03A2E"/>
        </w:rPr>
        <w:t xml:space="preserve">Serious</w:t>
      </w:r>
    </w:p>
    <w:p>
      <w:pPr>
        <w:spacing w:after="120"/>
      </w:pPr>
      <w:r>
        <w:t xml:space="preserve">Lactic acidosis is a life-threatening metabolic complication and meets the 'life-threatening' / 'medically important event' seriousness criteria under ICH E2A.</w:t>
      </w:r>
    </w:p>
    <w:p>
      <w:pPr>
        <w:spacing w:after="60"/>
      </w:pPr>
      <w:r>
        <w:rPr>
          <w:b/>
          <w:bCs/>
        </w:rPr>
        <w:t xml:space="preserve">Expectedness: </w:t>
      </w:r>
      <w:r>
        <w:rPr>
          <w:b/>
          <w:bCs/>
          <w:color w:val="B03A2E"/>
        </w:rPr>
        <w:t xml:space="preserve">Unexpected</w:t>
      </w:r>
    </w:p>
    <w:p>
      <w:pPr>
        <w:spacing w:after="120"/>
      </w:pPr>
      <w:r>
        <w:t xml:space="preserve">While metformin carries a boxed warning for lactic acidosis in general prescribing information, it is a rare event; if it occurs outside the specific risk factors described in labeling (e.g., renal impairment) or its rarity means it is not routinely expected, it is treated as unexpected for reporting purposes and warrants close signal evaluation.</w:t>
      </w:r>
    </w:p>
    <w:p>
      <w:pPr>
        <w:pStyle w:val="Heading2"/>
        <w:spacing w:after="90" w:before="180"/>
      </w:pPr>
      <w:r>
        <w:t xml:space="preserve">Case 04 — Atorvastatin</w:t>
      </w:r>
    </w:p>
    <w:p>
      <w:pPr>
        <w:spacing w:after="120"/>
      </w:pPr>
      <w:r>
        <w:rPr>
          <w:b/>
          <w:bCs/>
        </w:rPr>
        <w:t xml:space="preserve">Adverse Reaction: Elevated liver enzymes (mild)</w:t>
      </w:r>
    </w:p>
    <w:p>
      <w:pPr>
        <w:spacing w:after="60"/>
      </w:pPr>
      <w:r>
        <w:rPr>
          <w:b/>
          <w:bCs/>
        </w:rPr>
        <w:t xml:space="preserve">Seriousness: </w:t>
      </w:r>
      <w:r>
        <w:rPr>
          <w:b/>
          <w:bCs/>
          <w:color w:val="2E7D32"/>
        </w:rPr>
        <w:t xml:space="preserve">Non-Serious</w:t>
      </w:r>
    </w:p>
    <w:p>
      <w:pPr>
        <w:spacing w:after="120"/>
      </w:pPr>
      <w:r>
        <w:t xml:space="preserve">Mild, asymptomatic elevation in liver enzymes does not involve hospitalization, disability, or life-threatening risk, so it does not meet seriousness criteria.</w:t>
      </w:r>
    </w:p>
    <w:p>
      <w:pPr>
        <w:spacing w:after="60"/>
      </w:pPr>
      <w:r>
        <w:rPr>
          <w:b/>
          <w:bCs/>
        </w:rPr>
        <w:t xml:space="preserve">Expectedness: </w:t>
      </w:r>
      <w:r>
        <w:rPr>
          <w:b/>
          <w:bCs/>
          <w:color w:val="2E7D32"/>
        </w:rPr>
        <w:t xml:space="preserve">Expected</w:t>
      </w:r>
    </w:p>
    <w:p>
      <w:pPr>
        <w:spacing w:after="120"/>
      </w:pPr>
      <w:r>
        <w:t xml:space="preserve">Mild transaminase elevation is a commonly labeled, monitorable adverse effect of statins including atorvastatin, and is explicitly mentioned in prescribing information.</w:t>
      </w:r>
    </w:p>
    <w:p>
      <w:pPr>
        <w:pStyle w:val="Heading2"/>
        <w:spacing w:after="90" w:before="180"/>
      </w:pPr>
      <w:r>
        <w:t xml:space="preserve">Case 05 — Levofloxacin</w:t>
      </w:r>
    </w:p>
    <w:p>
      <w:pPr>
        <w:spacing w:after="120"/>
      </w:pPr>
      <w:r>
        <w:rPr>
          <w:b/>
          <w:bCs/>
        </w:rPr>
        <w:t xml:space="preserve">Adverse Reaction: Tendon rupture</w:t>
      </w:r>
    </w:p>
    <w:p>
      <w:pPr>
        <w:spacing w:after="60"/>
      </w:pPr>
      <w:r>
        <w:rPr>
          <w:b/>
          <w:bCs/>
        </w:rPr>
        <w:t xml:space="preserve">Seriousness: </w:t>
      </w:r>
      <w:r>
        <w:rPr>
          <w:b/>
          <w:bCs/>
          <w:color w:val="B03A2E"/>
        </w:rPr>
        <w:t xml:space="preserve">Serious</w:t>
      </w:r>
    </w:p>
    <w:p>
      <w:pPr>
        <w:spacing w:after="120"/>
      </w:pPr>
      <w:r>
        <w:t xml:space="preserve">Tendon rupture is a significant, potentially disabling event; depending on severity and impact on function, it meets the 'persistent/significant disability' or 'medically important event' seriousness criteria.</w:t>
      </w:r>
    </w:p>
    <w:p>
      <w:pPr>
        <w:spacing w:after="60"/>
      </w:pPr>
      <w:r>
        <w:rPr>
          <w:b/>
          <w:bCs/>
        </w:rPr>
        <w:t xml:space="preserve">Expectedness: </w:t>
      </w:r>
      <w:r>
        <w:rPr>
          <w:b/>
          <w:bCs/>
          <w:color w:val="B03A2E"/>
        </w:rPr>
        <w:t xml:space="preserve">Unexpected</w:t>
      </w:r>
    </w:p>
    <w:p>
      <w:pPr>
        <w:spacing w:after="120"/>
      </w:pPr>
      <w:r>
        <w:t xml:space="preserve">Although fluoroquinolone-associated tendinopathy is a known class effect and is included in boxed warnings for levofloxacin, an outright rupture (versus tendinitis/pain) is a more severe manifestation and, depending on patient risk factors, may be classified as unexpected relative to the frequency/severity described in standard labeling — warranting expedited reporting and signal review.</w:t>
      </w:r>
    </w:p>
    <w:p>
      <w:pPr>
        <w:pStyle w:val="Heading1"/>
        <w:spacing w:after="120" w:before="260"/>
      </w:pPr>
      <w:r>
        <w:t xml:space="preserve">Summary</w:t>
      </w:r>
    </w:p>
    <w:p>
      <w:pPr>
        <w:spacing w:after="120"/>
      </w:pPr>
      <w:r>
        <w:t xml:space="preserve">Of the five cases evaluated: 3 are classified as Serious (Ibuprofen–GI bleeding, Metformin–lactic acidosis, Levofloxacin–tendon rupture) and 2 as Non-Serious (Amoxicillin–rash, Atorvastatin–mild LFT elevation). By expectedness, 3 are Expected (Amoxicillin, Ibuprofen, Atorvastatin) and 2 are Unexpected (Metformin, Levofloxacin). Cases that are both Serious and Unexpected (Metformin, Levofloxacin) carry the highest regulatory priority and require expedited reporting within the standard 15-calendar-day timeline per ICH E2A/CIOMS guidelines.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2026-07-21T05:56:18.671Z</dcterms:created>
  <dcterms:modified xsi:type="dcterms:W3CDTF">2026-07-21T05:56:18.683Z</dcterms:modified>
</cp:coreProperties>
</file>

<file path=docProps/custom.xml><?xml version="1.0" encoding="utf-8"?>
<Properties xmlns="http://schemas.openxmlformats.org/officeDocument/2006/custom-properties" xmlns:vt="http://schemas.openxmlformats.org/officeDocument/2006/docPropsVTypes"/>
</file>