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Individual Case Safety Report (ICSR)</w:t>
      </w:r>
    </w:p>
    <w:p>
      <w:pPr>
        <w:spacing w:after="300"/>
        <w:jc w:val="center"/>
      </w:pPr>
      <w:r>
        <w:rPr>
          <w:i/>
          <w:iCs/>
          <w:color w:val="555555"/>
          <w:sz w:val="22"/>
          <w:szCs w:val="22"/>
        </w:rPr>
        <w:t xml:space="preserve">Pharmacovigilance Case Assessment — Drug Safety Associate Simulation</w:t>
      </w:r>
    </w:p>
    <w:p>
      <w:pPr>
        <w:pStyle w:val="Heading1"/>
        <w:spacing w:after="150" w:before="300"/>
      </w:pPr>
      <w:r>
        <w:t xml:space="preserve">1. Case Overview</w:t>
      </w:r>
    </w:p>
    <w:p>
      <w:pPr>
        <w:spacing w:after="120"/>
      </w:pPr>
      <w:r>
        <w:t xml:space="preserve">This report presents a complete pharmacovigilance assessment of a suspected adverse drug reaction (ADR), covering identification, ICSR structuring, causality assessment, and seriousness/severity classification, in line with ICH E2A and CIOMS reporting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1F3864" w:color="auto" w:val="clear"/>
          </w:tcPr>
          <w:p>
            <w:r>
              <w:rPr>
                <w:b/>
                <w:bCs/>
                <w:color w:val="FFFFFF"/>
              </w:rPr>
              <w:t xml:space="preserve">Field</w:t>
            </w:r>
          </w:p>
        </w:tc>
        <w:tc>
          <w:tcPr>
            <w:tcW w:type="dxa" w:w="6240"/>
            <w:shd w:fill="1F3864" w:color="auto" w:val="clear"/>
          </w:tcPr>
          <w:p>
            <w:r>
              <w:rPr>
                <w:b/>
                <w:bCs/>
                <w:color w:val="FFFFFF"/>
              </w:rPr>
              <w:t xml:space="preserve">Details</w:t>
            </w:r>
          </w:p>
        </w:tc>
      </w:tr>
      <w:tr>
        <w:tc>
          <w:tcPr>
            <w:tcW w:type="dxa" w:w="3120"/>
          </w:tcPr>
          <w:p>
            <w:r>
              <w:rPr>
                <w:b w:val="false"/>
                <w:bCs w:val="false"/>
                <w:color w:val="000000"/>
              </w:rPr>
              <w:t xml:space="preserve">Patient</w:t>
            </w:r>
          </w:p>
        </w:tc>
        <w:tc>
          <w:tcPr>
            <w:tcW w:type="dxa" w:w="6240"/>
          </w:tcPr>
          <w:p>
            <w:r>
              <w:rPr>
                <w:b w:val="false"/>
                <w:bCs w:val="false"/>
                <w:color w:val="000000"/>
              </w:rPr>
              <w:t xml:space="preserve">42-year-old female, 68 kg, no known drug allergies prior to this event</w:t>
            </w:r>
          </w:p>
        </w:tc>
      </w:tr>
      <w:tr>
        <w:tc>
          <w:tcPr>
            <w:tcW w:type="dxa" w:w="3120"/>
          </w:tcPr>
          <w:p>
            <w:r>
              <w:rPr>
                <w:b w:val="false"/>
                <w:bCs w:val="false"/>
                <w:color w:val="000000"/>
              </w:rPr>
              <w:t xml:space="preserve">Suspect Drug</w:t>
            </w:r>
          </w:p>
        </w:tc>
        <w:tc>
          <w:tcPr>
            <w:tcW w:type="dxa" w:w="6240"/>
          </w:tcPr>
          <w:p>
            <w:r>
              <w:rPr>
                <w:b w:val="false"/>
                <w:bCs w:val="false"/>
                <w:color w:val="000000"/>
              </w:rPr>
              <w:t xml:space="preserve">Amoxicillin 500 mg, oral, three times daily</w:t>
            </w:r>
          </w:p>
        </w:tc>
      </w:tr>
      <w:tr>
        <w:tc>
          <w:tcPr>
            <w:tcW w:type="dxa" w:w="3120"/>
          </w:tcPr>
          <w:p>
            <w:r>
              <w:rPr>
                <w:b w:val="false"/>
                <w:bCs w:val="false"/>
                <w:color w:val="000000"/>
              </w:rPr>
              <w:t xml:space="preserve">Indication</w:t>
            </w:r>
          </w:p>
        </w:tc>
        <w:tc>
          <w:tcPr>
            <w:tcW w:type="dxa" w:w="6240"/>
          </w:tcPr>
          <w:p>
            <w:r>
              <w:rPr>
                <w:b w:val="false"/>
                <w:bCs w:val="false"/>
                <w:color w:val="000000"/>
              </w:rPr>
              <w:t xml:space="preserve">Acute bacterial sinusitis</w:t>
            </w:r>
          </w:p>
        </w:tc>
      </w:tr>
      <w:tr>
        <w:tc>
          <w:tcPr>
            <w:tcW w:type="dxa" w:w="3120"/>
          </w:tcPr>
          <w:p>
            <w:r>
              <w:rPr>
                <w:b w:val="false"/>
                <w:bCs w:val="false"/>
                <w:color w:val="000000"/>
              </w:rPr>
              <w:t xml:space="preserve">Therapy Start Date</w:t>
            </w:r>
          </w:p>
        </w:tc>
        <w:tc>
          <w:tcPr>
            <w:tcW w:type="dxa" w:w="6240"/>
          </w:tcPr>
          <w:p>
            <w:r>
              <w:rPr>
                <w:b w:val="false"/>
                <w:bCs w:val="false"/>
                <w:color w:val="000000"/>
              </w:rPr>
              <w:t xml:space="preserve">Day 1</w:t>
            </w:r>
          </w:p>
        </w:tc>
      </w:tr>
      <w:tr>
        <w:tc>
          <w:tcPr>
            <w:tcW w:type="dxa" w:w="3120"/>
          </w:tcPr>
          <w:p>
            <w:r>
              <w:rPr>
                <w:b w:val="false"/>
                <w:bCs w:val="false"/>
                <w:color w:val="000000"/>
              </w:rPr>
              <w:t xml:space="preserve">Event Onset</w:t>
            </w:r>
          </w:p>
        </w:tc>
        <w:tc>
          <w:tcPr>
            <w:tcW w:type="dxa" w:w="6240"/>
          </w:tcPr>
          <w:p>
            <w:r>
              <w:rPr>
                <w:b w:val="false"/>
                <w:bCs w:val="false"/>
                <w:color w:val="000000"/>
              </w:rPr>
              <w:t xml:space="preserve">Day 3 — generalized urticaria, facial angioedema, mild dyspnea</w:t>
            </w:r>
          </w:p>
        </w:tc>
      </w:tr>
      <w:tr>
        <w:tc>
          <w:tcPr>
            <w:tcW w:type="dxa" w:w="3120"/>
          </w:tcPr>
          <w:p>
            <w:r>
              <w:rPr>
                <w:b w:val="false"/>
                <w:bCs w:val="false"/>
                <w:color w:val="000000"/>
              </w:rPr>
              <w:t xml:space="preserve">Action Taken</w:t>
            </w:r>
          </w:p>
        </w:tc>
        <w:tc>
          <w:tcPr>
            <w:tcW w:type="dxa" w:w="6240"/>
          </w:tcPr>
          <w:p>
            <w:r>
              <w:rPr>
                <w:b w:val="false"/>
                <w:bCs w:val="false"/>
                <w:color w:val="000000"/>
              </w:rPr>
              <w:t xml:space="preserve">Amoxicillin discontinued immediately; patient given IV antihistamine and corticosteroid in ED</w:t>
            </w:r>
          </w:p>
        </w:tc>
      </w:tr>
      <w:tr>
        <w:tc>
          <w:tcPr>
            <w:tcW w:type="dxa" w:w="3120"/>
          </w:tcPr>
          <w:p>
            <w:r>
              <w:rPr>
                <w:b w:val="false"/>
                <w:bCs w:val="false"/>
                <w:color w:val="000000"/>
              </w:rPr>
              <w:t xml:space="preserve">Dechallenge</w:t>
            </w:r>
          </w:p>
        </w:tc>
        <w:tc>
          <w:tcPr>
            <w:tcW w:type="dxa" w:w="6240"/>
          </w:tcPr>
          <w:p>
            <w:r>
              <w:rPr>
                <w:b w:val="false"/>
                <w:bCs w:val="false"/>
                <w:color w:val="000000"/>
              </w:rPr>
              <w:t xml:space="preserve">Positive — symptoms resolved within 24 hours of drug withdrawal</w:t>
            </w:r>
          </w:p>
        </w:tc>
      </w:tr>
      <w:tr>
        <w:tc>
          <w:tcPr>
            <w:tcW w:type="dxa" w:w="3120"/>
          </w:tcPr>
          <w:p>
            <w:r>
              <w:rPr>
                <w:b w:val="false"/>
                <w:bCs w:val="false"/>
                <w:color w:val="000000"/>
              </w:rPr>
              <w:t xml:space="preserve">Rechallenge</w:t>
            </w:r>
          </w:p>
        </w:tc>
        <w:tc>
          <w:tcPr>
            <w:tcW w:type="dxa" w:w="6240"/>
          </w:tcPr>
          <w:p>
            <w:r>
              <w:rPr>
                <w:b w:val="false"/>
                <w:bCs w:val="false"/>
                <w:color w:val="000000"/>
              </w:rPr>
              <w:t xml:space="preserve">Not performed (clinically inappropriate given severity)</w:t>
            </w:r>
          </w:p>
        </w:tc>
      </w:tr>
      <w:tr>
        <w:tc>
          <w:tcPr>
            <w:tcW w:type="dxa" w:w="3120"/>
          </w:tcPr>
          <w:p>
            <w:r>
              <w:rPr>
                <w:b w:val="false"/>
                <w:bCs w:val="false"/>
                <w:color w:val="000000"/>
              </w:rPr>
              <w:t xml:space="preserve">Concomitant Medication</w:t>
            </w:r>
          </w:p>
        </w:tc>
        <w:tc>
          <w:tcPr>
            <w:tcW w:type="dxa" w:w="6240"/>
          </w:tcPr>
          <w:p>
            <w:r>
              <w:rPr>
                <w:b w:val="false"/>
                <w:bCs w:val="false"/>
                <w:color w:val="000000"/>
              </w:rPr>
              <w:t xml:space="preserve">None reported</w:t>
            </w:r>
          </w:p>
        </w:tc>
      </w:tr>
      <w:tr>
        <w:tc>
          <w:tcPr>
            <w:tcW w:type="dxa" w:w="3120"/>
          </w:tcPr>
          <w:p>
            <w:r>
              <w:rPr>
                <w:b w:val="false"/>
                <w:bCs w:val="false"/>
                <w:color w:val="000000"/>
              </w:rPr>
              <w:t xml:space="preserve">Outcome</w:t>
            </w:r>
          </w:p>
        </w:tc>
        <w:tc>
          <w:tcPr>
            <w:tcW w:type="dxa" w:w="6240"/>
          </w:tcPr>
          <w:p>
            <w:r>
              <w:rPr>
                <w:b w:val="false"/>
                <w:bCs w:val="false"/>
                <w:color w:val="000000"/>
              </w:rPr>
              <w:t xml:space="preserve">Recovered/resolved, no sequelae</w:t>
            </w:r>
          </w:p>
        </w:tc>
      </w:tr>
    </w:tbl>
    <w:p>
      <w:pPr>
        <w:pStyle w:val="Heading1"/>
        <w:spacing w:after="150" w:before="300"/>
      </w:pPr>
      <w:r>
        <w:t xml:space="preserve">2. ADR Identification</w:t>
      </w:r>
    </w:p>
    <w:p>
      <w:pPr>
        <w:pStyle w:val="Heading2"/>
        <w:spacing w:after="100" w:before="240"/>
      </w:pPr>
      <w:r>
        <w:t xml:space="preserve">2.1 Reaction Description</w:t>
      </w:r>
    </w:p>
    <w:p>
      <w:pPr>
        <w:spacing w:after="120"/>
      </w:pPr>
      <w:r>
        <w:t xml:space="preserve">The patient developed generalized urticaria with facial angioedema and mild dyspnea on Day 3 of amoxicillin therapy. The temporal relationship (reaction within 72 hours of drug initiation), the absence of alternative explanatory causes, and rapid resolution on withdrawal are all consistent with a Type I (IgE-mediated) hypersensitivity reaction to amoxicillin.</w:t>
      </w:r>
    </w:p>
    <w:p>
      <w:pPr>
        <w:pStyle w:val="Heading2"/>
        <w:spacing w:after="100" w:before="240"/>
      </w:pPr>
      <w:r>
        <w:t xml:space="preserve">2.2 MedDRA Coding (illustrative)</w:t>
      </w:r>
    </w:p>
    <w:p>
      <w:pPr>
        <w:pStyle w:val="ListParagraph"/>
        <w:numPr>
          <w:ilvl w:val="0"/>
          <w:numId w:val="1"/>
        </w:numPr>
        <w:spacing w:after="60"/>
      </w:pPr>
      <w:r>
        <w:t xml:space="preserve">Preferred Term (PT): Urticaria</w:t>
      </w:r>
    </w:p>
    <w:p>
      <w:pPr>
        <w:pStyle w:val="ListParagraph"/>
        <w:numPr>
          <w:ilvl w:val="0"/>
          <w:numId w:val="1"/>
        </w:numPr>
        <w:spacing w:after="60"/>
      </w:pPr>
      <w:r>
        <w:t xml:space="preserve">Preferred Term (PT): Angioedema</w:t>
      </w:r>
    </w:p>
    <w:p>
      <w:pPr>
        <w:pStyle w:val="ListParagraph"/>
        <w:numPr>
          <w:ilvl w:val="0"/>
          <w:numId w:val="1"/>
        </w:numPr>
        <w:spacing w:after="60"/>
      </w:pPr>
      <w:r>
        <w:t xml:space="preserve">System Organ Class (SOC): Skin and subcutaneous tissue disorders; Immune system disorders</w:t>
      </w:r>
    </w:p>
    <w:p>
      <w:pPr>
        <w:pStyle w:val="Heading1"/>
        <w:spacing w:after="150" w:before="300"/>
      </w:pPr>
      <w:r>
        <w:t xml:space="preserve">3. ICSR Structuring</w:t>
      </w:r>
    </w:p>
    <w:p>
      <w:pPr>
        <w:spacing w:after="120"/>
      </w:pPr>
      <w:r>
        <w:t xml:space="preserve">Below is the case structured into the standard ICSR fields used for entry into a safety database (e.g., Oracle Argus Safety) and E2B(R3) transmission.</w:t>
      </w:r>
    </w:p>
    <w:p>
      <w:pPr>
        <w:spacing w:after="60"/>
      </w:pPr>
      <w:r>
        <w:rPr>
          <w:b/>
          <w:bCs/>
        </w:rPr>
        <w:t xml:space="preserve">Case Narrative: </w:t>
      </w:r>
      <w:r>
        <w:t xml:space="preserve">A 42-year-old female with no prior drug allergy history was started on amoxicillin 500 mg TID for acute bacterial sinusitis. On Day 3, she developed generalized urticaria, facial angioedema, and mild dyspnea. Amoxicillin was discontinued and she was treated with IV antihistamine and corticosteroid in the emergency department. Symptoms resolved fully within 24 hours. No rechallenge was performed. The event is assessed as a probable adverse drug reaction to amoxicillin.</w:t>
      </w:r>
    </w:p>
    <w:p>
      <w:pPr>
        <w:spacing w:after="60"/>
      </w:pPr>
      <w:r>
        <w:rPr>
          <w:b/>
          <w:bCs/>
        </w:rPr>
        <w:t xml:space="preserve">Reporter Type: </w:t>
      </w:r>
      <w:r>
        <w:t xml:space="preserve">Healthcare professional (treating physician)</w:t>
      </w:r>
    </w:p>
    <w:p>
      <w:pPr>
        <w:spacing w:after="60"/>
      </w:pPr>
      <w:r>
        <w:rPr>
          <w:b/>
          <w:bCs/>
        </w:rPr>
        <w:t xml:space="preserve">Report Type: </w:t>
      </w:r>
      <w:r>
        <w:t xml:space="preserve">Spontaneous, single case</w:t>
      </w:r>
    </w:p>
    <w:p>
      <w:pPr>
        <w:spacing w:after="60"/>
      </w:pPr>
      <w:r>
        <w:rPr>
          <w:b/>
          <w:bCs/>
        </w:rPr>
        <w:t xml:space="preserve">Seriousness Criteria Checked: </w:t>
      </w:r>
      <w:r>
        <w:t xml:space="preserve">Medically important event (required ED treatment and would have been life-threatening if untreated, given airway involvement risk)</w:t>
      </w:r>
    </w:p>
    <w:p>
      <w:pPr>
        <w:pStyle w:val="Heading1"/>
        <w:spacing w:after="150" w:before="300"/>
      </w:pPr>
      <w:r>
        <w:t xml:space="preserve">4. Causality Assessment</w:t>
      </w:r>
    </w:p>
    <w:p>
      <w:pPr>
        <w:spacing w:after="120"/>
      </w:pPr>
      <w:r>
        <w:t xml:space="preserve">Two standard scales are applied:</w:t>
      </w:r>
    </w:p>
    <w:p>
      <w:pPr>
        <w:pStyle w:val="Heading2"/>
        <w:spacing w:after="100" w:before="240"/>
      </w:pPr>
      <w:r>
        <w:t xml:space="preserve">4.1 WHO-UMC Causality Scale</w:t>
      </w:r>
    </w:p>
    <w:p>
      <w:pPr>
        <w:spacing w:after="120"/>
      </w:pPr>
      <w:r>
        <w:rPr>
          <w:b/>
          <w:bCs/>
        </w:rPr>
        <w:t xml:space="preserve">Assessment: PROBABLE / LIKELY</w:t>
      </w:r>
    </w:p>
    <w:p>
      <w:pPr>
        <w:pStyle w:val="ListParagraph"/>
        <w:numPr>
          <w:ilvl w:val="0"/>
          <w:numId w:val="1"/>
        </w:numPr>
        <w:spacing w:after="60"/>
      </w:pPr>
      <w:r>
        <w:t xml:space="preserve">Reasonable time relationship to drug intake (72 hours)</w:t>
      </w:r>
    </w:p>
    <w:p>
      <w:pPr>
        <w:pStyle w:val="ListParagraph"/>
        <w:numPr>
          <w:ilvl w:val="0"/>
          <w:numId w:val="1"/>
        </w:numPr>
        <w:spacing w:after="60"/>
      </w:pPr>
      <w:r>
        <w:t xml:space="preserve">Reaction pattern consistent with known amoxicillin/penicillin hypersensitivity profile</w:t>
      </w:r>
    </w:p>
    <w:p>
      <w:pPr>
        <w:pStyle w:val="ListParagraph"/>
        <w:numPr>
          <w:ilvl w:val="0"/>
          <w:numId w:val="1"/>
        </w:numPr>
        <w:spacing w:after="60"/>
      </w:pPr>
      <w:r>
        <w:t xml:space="preserve">Positive dechallenge (resolution on withdrawal)</w:t>
      </w:r>
    </w:p>
    <w:p>
      <w:pPr>
        <w:pStyle w:val="ListParagraph"/>
        <w:numPr>
          <w:ilvl w:val="0"/>
          <w:numId w:val="1"/>
        </w:numPr>
        <w:spacing w:after="60"/>
      </w:pPr>
      <w:r>
        <w:t xml:space="preserve">Rechallenge not done, so 'Certain' cannot be assigned</w:t>
      </w:r>
    </w:p>
    <w:p>
      <w:pPr>
        <w:pStyle w:val="ListParagraph"/>
        <w:numPr>
          <w:ilvl w:val="0"/>
          <w:numId w:val="1"/>
        </w:numPr>
        <w:spacing w:after="60"/>
      </w:pPr>
      <w:r>
        <w:t xml:space="preserve">No plausible alternative cause identified</w:t>
      </w:r>
    </w:p>
    <w:p>
      <w:pPr>
        <w:pStyle w:val="Heading2"/>
        <w:spacing w:after="100" w:before="240"/>
      </w:pPr>
      <w:r>
        <w:t xml:space="preserve">4.2 Naranjo Adverse Drug Reaction Probability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shd w:fill="1F3864" w:color="auto" w:val="clear"/>
          </w:tcPr>
          <w:p>
            <w:r>
              <w:rPr>
                <w:b/>
                <w:bCs/>
                <w:color w:val="FFFFFF"/>
              </w:rPr>
              <w:t xml:space="preserve">Naranjo Question</w:t>
            </w:r>
          </w:p>
        </w:tc>
        <w:tc>
          <w:tcPr>
            <w:tcW w:type="dxa" w:w="1800"/>
            <w:shd w:fill="1F3864" w:color="auto" w:val="clear"/>
          </w:tcPr>
          <w:p>
            <w:r>
              <w:rPr>
                <w:b/>
                <w:bCs/>
                <w:color w:val="FFFFFF"/>
              </w:rPr>
              <w:t xml:space="preserve">Answer</w:t>
            </w:r>
          </w:p>
        </w:tc>
        <w:tc>
          <w:tcPr>
            <w:tcW w:type="dxa" w:w="1800"/>
            <w:shd w:fill="1F3864" w:color="auto" w:val="clear"/>
          </w:tcPr>
          <w:p>
            <w:r>
              <w:rPr>
                <w:b/>
                <w:bCs/>
                <w:color w:val="FFFFFF"/>
              </w:rPr>
              <w:t xml:space="preserve">Score</w:t>
            </w:r>
          </w:p>
        </w:tc>
      </w:tr>
      <w:tr>
        <w:tc>
          <w:tcPr>
            <w:tcW w:type="dxa" w:w="5760"/>
          </w:tcPr>
          <w:p>
            <w:r>
              <w:rPr>
                <w:b w:val="false"/>
                <w:bCs w:val="false"/>
                <w:color w:val="000000"/>
              </w:rPr>
              <w:t xml:space="preserve">Are there previous conclusive reports on this reaction?</w:t>
            </w:r>
          </w:p>
        </w:tc>
        <w:tc>
          <w:tcPr>
            <w:tcW w:type="dxa" w:w="1800"/>
          </w:tcPr>
          <w:p>
            <w:r>
              <w:rPr>
                <w:b w:val="false"/>
                <w:bCs w:val="false"/>
                <w:color w:val="000000"/>
              </w:rPr>
              <w:t xml:space="preserve">Yes</w:t>
            </w:r>
          </w:p>
        </w:tc>
        <w:tc>
          <w:tcPr>
            <w:tcW w:type="dxa" w:w="1800"/>
          </w:tcPr>
          <w:p>
            <w:r>
              <w:rPr>
                <w:b w:val="false"/>
                <w:bCs w:val="false"/>
                <w:color w:val="000000"/>
              </w:rPr>
              <w:t xml:space="preserve">+1</w:t>
            </w:r>
          </w:p>
        </w:tc>
      </w:tr>
      <w:tr>
        <w:tc>
          <w:tcPr>
            <w:tcW w:type="dxa" w:w="5760"/>
          </w:tcPr>
          <w:p>
            <w:r>
              <w:rPr>
                <w:b w:val="false"/>
                <w:bCs w:val="false"/>
                <w:color w:val="000000"/>
              </w:rPr>
              <w:t xml:space="preserve">Did the adverse event appear after the suspected drug was given?</w:t>
            </w:r>
          </w:p>
        </w:tc>
        <w:tc>
          <w:tcPr>
            <w:tcW w:type="dxa" w:w="1800"/>
          </w:tcPr>
          <w:p>
            <w:r>
              <w:rPr>
                <w:b w:val="false"/>
                <w:bCs w:val="false"/>
                <w:color w:val="000000"/>
              </w:rPr>
              <w:t xml:space="preserve">Yes</w:t>
            </w:r>
          </w:p>
        </w:tc>
        <w:tc>
          <w:tcPr>
            <w:tcW w:type="dxa" w:w="1800"/>
          </w:tcPr>
          <w:p>
            <w:r>
              <w:rPr>
                <w:b w:val="false"/>
                <w:bCs w:val="false"/>
                <w:color w:val="000000"/>
              </w:rPr>
              <w:t xml:space="preserve">+2</w:t>
            </w:r>
          </w:p>
        </w:tc>
      </w:tr>
      <w:tr>
        <w:tc>
          <w:tcPr>
            <w:tcW w:type="dxa" w:w="5760"/>
          </w:tcPr>
          <w:p>
            <w:r>
              <w:rPr>
                <w:b w:val="false"/>
                <w:bCs w:val="false"/>
                <w:color w:val="000000"/>
              </w:rPr>
              <w:t xml:space="preserve">Did the reaction improve when the drug was discontinued?</w:t>
            </w:r>
          </w:p>
        </w:tc>
        <w:tc>
          <w:tcPr>
            <w:tcW w:type="dxa" w:w="1800"/>
          </w:tcPr>
          <w:p>
            <w:r>
              <w:rPr>
                <w:b w:val="false"/>
                <w:bCs w:val="false"/>
                <w:color w:val="000000"/>
              </w:rPr>
              <w:t xml:space="preserve">Yes</w:t>
            </w:r>
          </w:p>
        </w:tc>
        <w:tc>
          <w:tcPr>
            <w:tcW w:type="dxa" w:w="1800"/>
          </w:tcPr>
          <w:p>
            <w:r>
              <w:rPr>
                <w:b w:val="false"/>
                <w:bCs w:val="false"/>
                <w:color w:val="000000"/>
              </w:rPr>
              <w:t xml:space="preserve">+1</w:t>
            </w:r>
          </w:p>
        </w:tc>
      </w:tr>
      <w:tr>
        <w:tc>
          <w:tcPr>
            <w:tcW w:type="dxa" w:w="5760"/>
          </w:tcPr>
          <w:p>
            <w:r>
              <w:rPr>
                <w:b w:val="false"/>
                <w:bCs w:val="false"/>
                <w:color w:val="000000"/>
              </w:rPr>
              <w:t xml:space="preserve">Did the reaction reappear when the drug was readministered?</w:t>
            </w:r>
          </w:p>
        </w:tc>
        <w:tc>
          <w:tcPr>
            <w:tcW w:type="dxa" w:w="1800"/>
          </w:tcPr>
          <w:p>
            <w:r>
              <w:rPr>
                <w:b w:val="false"/>
                <w:bCs w:val="false"/>
                <w:color w:val="000000"/>
              </w:rPr>
              <w:t xml:space="preserve">Not done</w:t>
            </w:r>
          </w:p>
        </w:tc>
        <w:tc>
          <w:tcPr>
            <w:tcW w:type="dxa" w:w="1800"/>
          </w:tcPr>
          <w:p>
            <w:r>
              <w:rPr>
                <w:b w:val="false"/>
                <w:bCs w:val="false"/>
                <w:color w:val="000000"/>
              </w:rPr>
              <w:t xml:space="preserve">0</w:t>
            </w:r>
          </w:p>
        </w:tc>
      </w:tr>
      <w:tr>
        <w:tc>
          <w:tcPr>
            <w:tcW w:type="dxa" w:w="5760"/>
          </w:tcPr>
          <w:p>
            <w:r>
              <w:rPr>
                <w:b w:val="false"/>
                <w:bCs w:val="false"/>
                <w:color w:val="000000"/>
              </w:rPr>
              <w:t xml:space="preserve">Are there alternative causes that could have caused the reaction?</w:t>
            </w:r>
          </w:p>
        </w:tc>
        <w:tc>
          <w:tcPr>
            <w:tcW w:type="dxa" w:w="1800"/>
          </w:tcPr>
          <w:p>
            <w:r>
              <w:rPr>
                <w:b w:val="false"/>
                <w:bCs w:val="false"/>
                <w:color w:val="000000"/>
              </w:rPr>
              <w:t xml:space="preserve">No</w:t>
            </w:r>
          </w:p>
        </w:tc>
        <w:tc>
          <w:tcPr>
            <w:tcW w:type="dxa" w:w="1800"/>
          </w:tcPr>
          <w:p>
            <w:r>
              <w:rPr>
                <w:b w:val="false"/>
                <w:bCs w:val="false"/>
                <w:color w:val="000000"/>
              </w:rPr>
              <w:t xml:space="preserve">+2</w:t>
            </w:r>
          </w:p>
        </w:tc>
      </w:tr>
      <w:tr>
        <w:tc>
          <w:tcPr>
            <w:tcW w:type="dxa" w:w="5760"/>
          </w:tcPr>
          <w:p>
            <w:r>
              <w:rPr>
                <w:b w:val="false"/>
                <w:bCs w:val="false"/>
                <w:color w:val="000000"/>
              </w:rPr>
              <w:t xml:space="preserve">Did the reaction reappear when a placebo was given?</w:t>
            </w:r>
          </w:p>
        </w:tc>
        <w:tc>
          <w:tcPr>
            <w:tcW w:type="dxa" w:w="1800"/>
          </w:tcPr>
          <w:p>
            <w:r>
              <w:rPr>
                <w:b w:val="false"/>
                <w:bCs w:val="false"/>
                <w:color w:val="000000"/>
              </w:rPr>
              <w:t xml:space="preserve">Not done</w:t>
            </w:r>
          </w:p>
        </w:tc>
        <w:tc>
          <w:tcPr>
            <w:tcW w:type="dxa" w:w="1800"/>
          </w:tcPr>
          <w:p>
            <w:r>
              <w:rPr>
                <w:b w:val="false"/>
                <w:bCs w:val="false"/>
                <w:color w:val="000000"/>
              </w:rPr>
              <w:t xml:space="preserve">0</w:t>
            </w:r>
          </w:p>
        </w:tc>
      </w:tr>
      <w:tr>
        <w:tc>
          <w:tcPr>
            <w:tcW w:type="dxa" w:w="5760"/>
          </w:tcPr>
          <w:p>
            <w:r>
              <w:rPr>
                <w:b w:val="false"/>
                <w:bCs w:val="false"/>
                <w:color w:val="000000"/>
              </w:rPr>
              <w:t xml:space="preserve">Was the drug detected in blood at a toxic concentration?</w:t>
            </w:r>
          </w:p>
        </w:tc>
        <w:tc>
          <w:tcPr>
            <w:tcW w:type="dxa" w:w="1800"/>
          </w:tcPr>
          <w:p>
            <w:r>
              <w:rPr>
                <w:b w:val="false"/>
                <w:bCs w:val="false"/>
                <w:color w:val="000000"/>
              </w:rPr>
              <w:t xml:space="preserve">Not applicable</w:t>
            </w:r>
          </w:p>
        </w:tc>
        <w:tc>
          <w:tcPr>
            <w:tcW w:type="dxa" w:w="1800"/>
          </w:tcPr>
          <w:p>
            <w:r>
              <w:rPr>
                <w:b w:val="false"/>
                <w:bCs w:val="false"/>
                <w:color w:val="000000"/>
              </w:rPr>
              <w:t xml:space="preserve">0</w:t>
            </w:r>
          </w:p>
        </w:tc>
      </w:tr>
      <w:tr>
        <w:tc>
          <w:tcPr>
            <w:tcW w:type="dxa" w:w="5760"/>
          </w:tcPr>
          <w:p>
            <w:r>
              <w:rPr>
                <w:b w:val="false"/>
                <w:bCs w:val="false"/>
                <w:color w:val="000000"/>
              </w:rPr>
              <w:t xml:space="preserve">Was the reaction more severe with dose increase / less severe with dose decrease?</w:t>
            </w:r>
          </w:p>
        </w:tc>
        <w:tc>
          <w:tcPr>
            <w:tcW w:type="dxa" w:w="1800"/>
          </w:tcPr>
          <w:p>
            <w:r>
              <w:rPr>
                <w:b w:val="false"/>
                <w:bCs w:val="false"/>
                <w:color w:val="000000"/>
              </w:rPr>
              <w:t xml:space="preserve">Not applicable</w:t>
            </w:r>
          </w:p>
        </w:tc>
        <w:tc>
          <w:tcPr>
            <w:tcW w:type="dxa" w:w="1800"/>
          </w:tcPr>
          <w:p>
            <w:r>
              <w:rPr>
                <w:b w:val="false"/>
                <w:bCs w:val="false"/>
                <w:color w:val="000000"/>
              </w:rPr>
              <w:t xml:space="preserve">0</w:t>
            </w:r>
          </w:p>
        </w:tc>
      </w:tr>
      <w:tr>
        <w:tc>
          <w:tcPr>
            <w:tcW w:type="dxa" w:w="5760"/>
          </w:tcPr>
          <w:p>
            <w:r>
              <w:rPr>
                <w:b w:val="false"/>
                <w:bCs w:val="false"/>
                <w:color w:val="000000"/>
              </w:rPr>
              <w:t xml:space="preserve">Did the patient have a similar reaction to same/similar drug in past exposure?</w:t>
            </w:r>
          </w:p>
        </w:tc>
        <w:tc>
          <w:tcPr>
            <w:tcW w:type="dxa" w:w="1800"/>
          </w:tcPr>
          <w:p>
            <w:r>
              <w:rPr>
                <w:b w:val="false"/>
                <w:bCs w:val="false"/>
                <w:color w:val="000000"/>
              </w:rPr>
              <w:t xml:space="preserve">Unknown</w:t>
            </w:r>
          </w:p>
        </w:tc>
        <w:tc>
          <w:tcPr>
            <w:tcW w:type="dxa" w:w="1800"/>
          </w:tcPr>
          <w:p>
            <w:r>
              <w:rPr>
                <w:b w:val="false"/>
                <w:bCs w:val="false"/>
                <w:color w:val="000000"/>
              </w:rPr>
              <w:t xml:space="preserve">0</w:t>
            </w:r>
          </w:p>
        </w:tc>
      </w:tr>
      <w:tr>
        <w:tc>
          <w:tcPr>
            <w:tcW w:type="dxa" w:w="5760"/>
          </w:tcPr>
          <w:p>
            <w:r>
              <w:rPr>
                <w:b w:val="false"/>
                <w:bCs w:val="false"/>
                <w:color w:val="000000"/>
              </w:rPr>
              <w:t xml:space="preserve">Was the adverse event confirmed by objective evidence?</w:t>
            </w:r>
          </w:p>
        </w:tc>
        <w:tc>
          <w:tcPr>
            <w:tcW w:type="dxa" w:w="1800"/>
          </w:tcPr>
          <w:p>
            <w:r>
              <w:rPr>
                <w:b w:val="false"/>
                <w:bCs w:val="false"/>
                <w:color w:val="000000"/>
              </w:rPr>
              <w:t xml:space="preserve">Yes (clinical exam, vitals)</w:t>
            </w:r>
          </w:p>
        </w:tc>
        <w:tc>
          <w:tcPr>
            <w:tcW w:type="dxa" w:w="1800"/>
          </w:tcPr>
          <w:p>
            <w:r>
              <w:rPr>
                <w:b w:val="false"/>
                <w:bCs w:val="false"/>
                <w:color w:val="000000"/>
              </w:rPr>
              <w:t xml:space="preserve">+1</w:t>
            </w:r>
          </w:p>
        </w:tc>
      </w:tr>
      <w:tr>
        <w:tc>
          <w:tcPr>
            <w:tcW w:type="dxa" w:w="5760"/>
            <w:shd w:fill="1F3864" w:color="auto" w:val="clear"/>
          </w:tcPr>
          <w:p>
            <w:r>
              <w:rPr>
                <w:b/>
                <w:bCs/>
                <w:color w:val="FFFFFF"/>
              </w:rPr>
              <w:t xml:space="preserve">TOTAL SCORE</w:t>
            </w:r>
          </w:p>
        </w:tc>
        <w:tc>
          <w:tcPr>
            <w:tcW w:type="dxa" w:w="1800"/>
            <w:shd w:fill="1F3864" w:color="auto" w:val="clear"/>
          </w:tcPr>
          <w:p>
            <w:r>
              <w:rPr>
                <w:b/>
                <w:bCs/>
                <w:color w:val="FFFFFF"/>
              </w:rPr>
              <w:t xml:space="preserve"/>
            </w:r>
          </w:p>
        </w:tc>
        <w:tc>
          <w:tcPr>
            <w:tcW w:type="dxa" w:w="1800"/>
            <w:shd w:fill="1F3864" w:color="auto" w:val="clear"/>
          </w:tcPr>
          <w:p>
            <w:r>
              <w:rPr>
                <w:b/>
                <w:bCs/>
                <w:color w:val="FFFFFF"/>
              </w:rPr>
              <w:t xml:space="preserve">7 (Probable)</w:t>
            </w:r>
          </w:p>
        </w:tc>
      </w:tr>
    </w:tbl>
    <w:p>
      <w:pPr>
        <w:spacing w:after="120" w:before="120"/>
      </w:pPr>
      <w:r>
        <w:rPr>
          <w:i/>
          <w:iCs/>
        </w:rPr>
        <w:t xml:space="preserve">Interpretation: Score ≥9 = Definite, 5–8 = Probable, 1–4 = Possible, ≤0 = Doubtful. A score of 7 confirms a Probable causal relationship, consistent with the WHO-UMC assessment.</w:t>
      </w:r>
    </w:p>
    <w:p>
      <w:pPr>
        <w:pStyle w:val="Heading1"/>
        <w:spacing w:after="150" w:before="300"/>
      </w:pPr>
      <w:r>
        <w:t xml:space="preserve">5. Seriousness &amp; Severity Classification</w:t>
      </w:r>
    </w:p>
    <w:p>
      <w:pPr>
        <w:pStyle w:val="Heading2"/>
        <w:spacing w:after="100" w:before="240"/>
      </w:pPr>
      <w:r>
        <w:t xml:space="preserve">5.1 Seriousness (per ICH E2A)</w:t>
      </w:r>
    </w:p>
    <w:p>
      <w:pPr>
        <w:spacing w:after="120"/>
      </w:pPr>
      <w:r>
        <w:rPr>
          <w:b/>
          <w:bCs/>
        </w:rPr>
        <w:t xml:space="preserve">Classified as SERIOUS</w:t>
      </w:r>
    </w:p>
    <w:p>
      <w:pPr>
        <w:spacing w:after="120"/>
      </w:pPr>
      <w:r>
        <w:t xml:space="preserve">Rationale: The event meets the 'medically important' seriousness criterion — angioedema with dyspnea carries risk of airway compromise and required emergency intervention, even though the patient did not require hospitalization and there was no death, disability, or congenital anomaly.</w:t>
      </w:r>
    </w:p>
    <w:p>
      <w:pPr>
        <w:pStyle w:val="Heading2"/>
        <w:spacing w:after="100" w:before="240"/>
      </w:pPr>
      <w:r>
        <w:t xml:space="preserve">5.2 Severity</w:t>
      </w:r>
    </w:p>
    <w:p>
      <w:pPr>
        <w:spacing w:after="120"/>
      </w:pPr>
      <w:r>
        <w:t xml:space="preserve">Clinical severity grading: Moderate to Severe (symptomatic, required emergency treatment, but fully reversible with no lasting sequelae).</w:t>
      </w:r>
    </w:p>
    <w:p>
      <w:pPr>
        <w:pStyle w:val="Heading1"/>
        <w:spacing w:after="150" w:before="300"/>
      </w:pPr>
      <w:r>
        <w:t xml:space="preserve">6. Regulatory Reporting Timeline</w:t>
      </w:r>
    </w:p>
    <w:p>
      <w:pPr>
        <w:pStyle w:val="ListParagraph"/>
        <w:numPr>
          <w:ilvl w:val="0"/>
          <w:numId w:val="1"/>
        </w:numPr>
        <w:spacing w:after="60"/>
      </w:pPr>
      <w:r>
        <w:t xml:space="preserve">Serious + Unexpected + Suspected ADR → Expedited report to regulatory authority within 15 calendar days of first receipt (per ICH E2A / CIOMS)</w:t>
      </w:r>
    </w:p>
    <w:p>
      <w:pPr>
        <w:pStyle w:val="ListParagraph"/>
        <w:numPr>
          <w:ilvl w:val="0"/>
          <w:numId w:val="1"/>
        </w:numPr>
        <w:spacing w:after="60"/>
      </w:pPr>
      <w:r>
        <w:t xml:space="preserve">Non-serious cases → included in periodic safety update reports (PSURs), not expedited</w:t>
      </w:r>
    </w:p>
    <w:p>
      <w:pPr>
        <w:pStyle w:val="ListParagraph"/>
        <w:numPr>
          <w:ilvl w:val="0"/>
          <w:numId w:val="1"/>
        </w:numPr>
        <w:spacing w:after="60"/>
      </w:pPr>
      <w:r>
        <w:t xml:space="preserve">This case, being serious, triggers the 15-day expedited reporting timeline</w:t>
      </w:r>
    </w:p>
    <w:p>
      <w:pPr>
        <w:pStyle w:val="Heading1"/>
        <w:spacing w:after="150" w:before="300"/>
      </w:pPr>
      <w:r>
        <w:t xml:space="preserve">7. Conclusion</w:t>
      </w:r>
    </w:p>
    <w:p>
      <w:pPr>
        <w:spacing w:after="120"/>
      </w:pPr>
      <w:r>
        <w:t xml:space="preserve">This case represents a well-documented, serious, probable adverse drug reaction (hypersensitivity/angioedema) to amoxicillin, supported by a clear temporal relationship, positive dechallenge, and absence of confounding factors. It meets criteria for expedited regulatory reporting within 15 days and should be coded, entered into the safety database, and forwarded per standard ICSR workflow.</w:t>
      </w:r>
    </w:p>
    <w:p>
      <w:pPr>
        <w:spacing w:before="300"/>
      </w:pPr>
      <w:r>
        <w:rPr>
          <w:i/>
          <w:iCs/>
          <w:color w:val="777777"/>
          <w:sz w:val="20"/>
          <w:szCs w:val="20"/>
        </w:rPr>
        <w:t xml:space="preserve">Note: This report uses an illustrative case for template purposes. Replace patient/drug/event details with the actual case study provided by the task if different.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2026-07-20T09:26:32.970Z</dcterms:created>
  <dcterms:modified xsi:type="dcterms:W3CDTF">2026-07-20T09:26:32.982Z</dcterms:modified>
</cp:coreProperties>
</file>

<file path=docProps/custom.xml><?xml version="1.0" encoding="utf-8"?>
<Properties xmlns="http://schemas.openxmlformats.org/officeDocument/2006/custom-properties" xmlns:vt="http://schemas.openxmlformats.org/officeDocument/2006/docPropsVTypes"/>
</file>