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ADR Reporting &amp; Documentation Form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Structured Adverse Drug Reaction Report — Task ID: task2</w:t>
      </w:r>
    </w:p>
    <w:p>
      <w:pPr>
        <w:pStyle w:val="Heading1"/>
        <w:spacing w:after="120" w:before="260"/>
      </w:pPr>
      <w:r>
        <w:t xml:space="preserve">1. Patient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Patient Identifier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Patient A (confidential/initials only, per data privacy)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Age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45 years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Sex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Female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Weight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Not recorded in case scenario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Relevant History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No known drug allergies reported prior to this event</w:t>
            </w:r>
          </w:p>
        </w:tc>
      </w:tr>
    </w:tbl>
    <w:p>
      <w:pPr>
        <w:pStyle w:val="Heading1"/>
        <w:spacing w:after="120" w:before="260"/>
      </w:pPr>
      <w:r>
        <w:t xml:space="preserve">2. Medication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Medicine Name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Amoxicillin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Dose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500 mg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Route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Oral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Frequency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Three times daily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Start Date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Day 1 of therapy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Indication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Bacterial infection (as prescribed)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Concomitant Medication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Paracetamol — taken as needed (PRN), unlikely contributor</w:t>
            </w:r>
          </w:p>
        </w:tc>
      </w:tr>
    </w:tbl>
    <w:p>
      <w:pPr>
        <w:pStyle w:val="Heading1"/>
        <w:spacing w:after="120" w:before="260"/>
      </w:pPr>
      <w:r>
        <w:t xml:space="preserve">3. Adverse Reaction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Reaction / Event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Rash, pruritus (itching), nausea, and dizziness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Date of Onset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Day 5 of amoxicillin therapy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Date of Recovery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Day 7 (symptoms resolved within 48 hours of drug discontinuation)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Outcome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Recovered/Resolved, no sequelae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Seriousness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Non-serious (no hospitalization, no life-threatening features, fully reversible)</w:t>
            </w:r>
          </w:p>
        </w:tc>
      </w:tr>
    </w:tbl>
    <w:p>
      <w:pPr>
        <w:pStyle w:val="Heading1"/>
        <w:spacing w:after="120" w:before="260"/>
      </w:pPr>
      <w:r>
        <w:t xml:space="preserve">4. Reporter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Parthapratim Jana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Designation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Pharmacy Trainee / Pharmacovigilance Trainee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Contact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[Insert contact email/phone]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Healthcare Institution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Apollo Pharmacy, Bengaluru</w:t>
            </w:r>
          </w:p>
        </w:tc>
      </w:tr>
    </w:tbl>
    <w:p>
      <w:pPr>
        <w:pStyle w:val="Heading1"/>
        <w:spacing w:after="120" w:before="260"/>
      </w:pPr>
      <w:r>
        <w:t xml:space="preserve">5. Additional Information</w:t>
      </w:r>
    </w:p>
    <w:p>
      <w:pPr>
        <w:spacing w:after="120"/>
      </w:pPr>
      <w:r>
        <w:t xml:space="preserve">Reaction is clinically consistent with a delayed (non-immediate) hypersensitivity response to amoxicillin, given the 5-day interval between drug initiation and symptom onset. Amoxicillin is identified as the primary suspect drug based on symptom pattern, known ADR profile, and timeline; paracetamol is considered an unlikely contributor given its PRN dosing pattern. Causality assessed as Probable per WHO-UMC criteria (see accompanying ADR Identification and Causality Assessment reports). No further diagnostic workup was required as the reaction resolved fully upon discontinuation of the suspect drug.</w:t>
      </w:r>
    </w:p>
    <w:p>
      <w:pPr>
        <w:spacing w:before="300"/>
      </w:pPr>
      <w:r>
        <w:rPr>
          <w:i/>
          <w:iCs/>
          <w:color w:val="777777"/>
          <w:sz w:val="20"/>
          <w:szCs w:val="20"/>
        </w:rPr>
        <w:t xml:space="preserve">Note: Case details are drawn from the patient scenario used in the ADR Identification Basics task for continuity. Replace with actual case data if a different scenario is provided by the 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2026-07-21T05:48:36.454Z</dcterms:created>
  <dcterms:modified xsi:type="dcterms:W3CDTF">2026-07-21T05:48:36.467Z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