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36"/>
          <w:szCs w:val="36"/>
        </w:rPr>
        <w:t xml:space="preserve">Causality Assessment</w:t>
      </w:r>
    </w:p>
    <w:p>
      <w:pPr>
        <w:spacing w:after="300"/>
        <w:jc w:val="center"/>
      </w:pPr>
      <w:r>
        <w:rPr>
          <w:i/>
          <w:iCs/>
          <w:color w:val="555555"/>
          <w:sz w:val="22"/>
          <w:szCs w:val="22"/>
        </w:rPr>
        <w:t xml:space="preserve">Drug–Adverse Reaction Relationship Evaluation — Task ID: task3</w:t>
      </w:r>
    </w:p>
    <w:p>
      <w:pPr>
        <w:pStyle w:val="Heading1"/>
        <w:spacing w:after="120" w:before="260"/>
      </w:pPr>
      <w:r>
        <w:t xml:space="preserve">Case Study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shd w:fill="1F3864" w:color="auto" w:val="clear"/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6240"/>
            <w:shd w:fill="1F3864" w:color="auto" w:val="clear"/>
          </w:tcPr>
          <w:p>
            <w:r>
              <w:rPr>
                <w:b/>
                <w:bCs/>
                <w:color w:val="FFFFFF"/>
              </w:rPr>
              <w:t xml:space="preserve">Details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  <w:color w:val="000000"/>
              </w:rPr>
              <w:t xml:space="preserve">Patient</w:t>
            </w:r>
          </w:p>
        </w:tc>
        <w:tc>
          <w:tcPr>
            <w:tcW w:type="dxa" w:w="6240"/>
          </w:tcPr>
          <w:p>
            <w:r>
              <w:rPr>
                <w:b w:val="false"/>
                <w:bCs w:val="false"/>
                <w:color w:val="000000"/>
              </w:rPr>
              <w:t xml:space="preserve">45-year-old female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  <w:color w:val="000000"/>
              </w:rPr>
              <w:t xml:space="preserve">Suspected Drug</w:t>
            </w:r>
          </w:p>
        </w:tc>
        <w:tc>
          <w:tcPr>
            <w:tcW w:type="dxa" w:w="6240"/>
          </w:tcPr>
          <w:p>
            <w:r>
              <w:rPr>
                <w:b w:val="false"/>
                <w:bCs w:val="false"/>
                <w:color w:val="000000"/>
              </w:rPr>
              <w:t xml:space="preserve">Amoxicillin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  <w:color w:val="000000"/>
              </w:rPr>
              <w:t xml:space="preserve">Adverse Reaction</w:t>
            </w:r>
          </w:p>
        </w:tc>
        <w:tc>
          <w:tcPr>
            <w:tcW w:type="dxa" w:w="6240"/>
          </w:tcPr>
          <w:p>
            <w:r>
              <w:rPr>
                <w:b w:val="false"/>
                <w:bCs w:val="false"/>
                <w:color w:val="000000"/>
              </w:rPr>
              <w:t xml:space="preserve">Skin rash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  <w:color w:val="000000"/>
              </w:rPr>
              <w:t xml:space="preserve">Onset</w:t>
            </w:r>
          </w:p>
        </w:tc>
        <w:tc>
          <w:tcPr>
            <w:tcW w:type="dxa" w:w="6240"/>
          </w:tcPr>
          <w:p>
            <w:r>
              <w:rPr>
                <w:b w:val="false"/>
                <w:bCs w:val="false"/>
                <w:color w:val="000000"/>
              </w:rPr>
              <w:t xml:space="preserve">3 days after starting the drug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  <w:color w:val="000000"/>
              </w:rPr>
              <w:t xml:space="preserve">Outcome</w:t>
            </w:r>
          </w:p>
        </w:tc>
        <w:tc>
          <w:tcPr>
            <w:tcW w:type="dxa" w:w="6240"/>
          </w:tcPr>
          <w:p>
            <w:r>
              <w:rPr>
                <w:b w:val="false"/>
                <w:bCs w:val="false"/>
                <w:color w:val="000000"/>
              </w:rPr>
              <w:t xml:space="preserve">Recovered after stopping the drug</w:t>
            </w:r>
          </w:p>
        </w:tc>
      </w:tr>
    </w:tbl>
    <w:p>
      <w:pPr>
        <w:pStyle w:val="Heading1"/>
        <w:spacing w:after="120" w:before="260"/>
      </w:pPr>
      <w:r>
        <w:t xml:space="preserve">Assessment Criteria</w:t>
      </w:r>
    </w:p>
    <w:p>
      <w:pPr>
        <w:spacing w:after="120"/>
      </w:pPr>
      <w:r>
        <w:t xml:space="preserve">Each of the four standard causality criteria is evaluated against the case details below.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360"/>
        <w:gridCol w:w="2900"/>
      </w:tblGrid>
      <w:tr>
        <w:tc>
          <w:tcPr>
            <w:tcW w:type="dxa" w:w="2100"/>
            <w:shd w:fill="1F3864" w:color="auto" w:val="clear"/>
          </w:tcPr>
          <w:p>
            <w:r>
              <w:rPr>
                <w:b/>
                <w:bCs/>
                <w:color w:val="FFFFFF"/>
              </w:rPr>
              <w:t xml:space="preserve">Criterion</w:t>
            </w:r>
          </w:p>
        </w:tc>
        <w:tc>
          <w:tcPr>
            <w:tcW w:type="dxa" w:w="4360"/>
            <w:shd w:fill="1F3864" w:color="auto" w:val="clear"/>
          </w:tcPr>
          <w:p>
            <w:r>
              <w:rPr>
                <w:b/>
                <w:bCs/>
                <w:color w:val="FFFFFF"/>
              </w:rPr>
              <w:t xml:space="preserve">Finding in This Case</w:t>
            </w:r>
          </w:p>
        </w:tc>
        <w:tc>
          <w:tcPr>
            <w:tcW w:type="dxa" w:w="2900"/>
            <w:shd w:fill="1F3864" w:color="auto" w:val="clear"/>
          </w:tcPr>
          <w:p>
            <w:r>
              <w:rPr>
                <w:b/>
                <w:bCs/>
                <w:color w:val="FFFFFF"/>
              </w:rPr>
              <w:t xml:space="preserve">Assessment</w:t>
            </w:r>
          </w:p>
        </w:tc>
      </w:tr>
      <w:tr>
        <w:tc>
          <w:tcPr>
            <w:tcW w:type="dxa" w:w="2100"/>
          </w:tcPr>
          <w:p>
            <w:r>
              <w:rPr>
                <w:b w:val="false"/>
                <w:bCs w:val="false"/>
                <w:color w:val="000000"/>
              </w:rPr>
              <w:t xml:space="preserve">1. Temporal Relationship</w:t>
            </w:r>
          </w:p>
        </w:tc>
        <w:tc>
          <w:tcPr>
            <w:tcW w:type="dxa" w:w="4360"/>
          </w:tcPr>
          <w:p>
            <w:r>
              <w:rPr>
                <w:b w:val="false"/>
                <w:bCs w:val="false"/>
                <w:color w:val="000000"/>
              </w:rPr>
              <w:t xml:space="preserve">Rash appeared 3 days after amoxicillin was started — a plausible latency window for a non-immediate drug hypersensitivity reaction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  <w:color w:val="000000"/>
              </w:rPr>
              <w:t xml:space="preserve">Positive</w:t>
            </w:r>
          </w:p>
        </w:tc>
      </w:tr>
      <w:tr>
        <w:tc>
          <w:tcPr>
            <w:tcW w:type="dxa" w:w="2100"/>
          </w:tcPr>
          <w:p>
            <w:r>
              <w:rPr>
                <w:b w:val="false"/>
                <w:bCs w:val="false"/>
                <w:color w:val="000000"/>
              </w:rPr>
              <w:t xml:space="preserve">2. Dechallenge</w:t>
            </w:r>
          </w:p>
        </w:tc>
        <w:tc>
          <w:tcPr>
            <w:tcW w:type="dxa" w:w="4360"/>
          </w:tcPr>
          <w:p>
            <w:r>
              <w:rPr>
                <w:b w:val="false"/>
                <w:bCs w:val="false"/>
                <w:color w:val="000000"/>
              </w:rPr>
              <w:t xml:space="preserve">Patient recovered after the drug was stopped, indicating the reaction resolved on withdrawal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  <w:color w:val="000000"/>
              </w:rPr>
              <w:t xml:space="preserve">Positive</w:t>
            </w:r>
          </w:p>
        </w:tc>
      </w:tr>
      <w:tr>
        <w:tc>
          <w:tcPr>
            <w:tcW w:type="dxa" w:w="2100"/>
          </w:tcPr>
          <w:p>
            <w:r>
              <w:rPr>
                <w:b w:val="false"/>
                <w:bCs w:val="false"/>
                <w:color w:val="000000"/>
              </w:rPr>
              <w:t xml:space="preserve">3. Alternative Causes</w:t>
            </w:r>
          </w:p>
        </w:tc>
        <w:tc>
          <w:tcPr>
            <w:tcW w:type="dxa" w:w="4360"/>
          </w:tcPr>
          <w:p>
            <w:r>
              <w:rPr>
                <w:b w:val="false"/>
                <w:bCs w:val="false"/>
                <w:color w:val="000000"/>
              </w:rPr>
              <w:t xml:space="preserve">No other illness, infection, or concomitant medication is documented that could independently explain the rash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  <w:color w:val="000000"/>
              </w:rPr>
              <w:t xml:space="preserve">None identified</w:t>
            </w:r>
          </w:p>
        </w:tc>
      </w:tr>
      <w:tr>
        <w:tc>
          <w:tcPr>
            <w:tcW w:type="dxa" w:w="2100"/>
          </w:tcPr>
          <w:p>
            <w:r>
              <w:rPr>
                <w:b w:val="false"/>
                <w:bCs w:val="false"/>
                <w:color w:val="000000"/>
              </w:rPr>
              <w:t xml:space="preserve">4. Rechallenge</w:t>
            </w:r>
          </w:p>
        </w:tc>
        <w:tc>
          <w:tcPr>
            <w:tcW w:type="dxa" w:w="4360"/>
          </w:tcPr>
          <w:p>
            <w:r>
              <w:rPr>
                <w:b w:val="false"/>
                <w:bCs w:val="false"/>
                <w:color w:val="000000"/>
              </w:rPr>
              <w:t xml:space="preserve">Not performed — the case study gives no indication the drug was re-administered after recovery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  <w:color w:val="000000"/>
              </w:rPr>
              <w:t xml:space="preserve">Not done</w:t>
            </w:r>
          </w:p>
        </w:tc>
      </w:tr>
    </w:tbl>
    <w:p>
      <w:pPr>
        <w:pStyle w:val="Heading1"/>
        <w:spacing w:after="120" w:before="260"/>
      </w:pPr>
      <w:r>
        <w:t xml:space="preserve">Step-by-Step Reasoning</w:t>
      </w:r>
    </w:p>
    <w:p>
      <w:pPr>
        <w:pStyle w:val="Heading2"/>
        <w:spacing w:after="90" w:before="180"/>
      </w:pPr>
      <w:r>
        <w:t xml:space="preserve">1. Temporal Relationship — Did the reaction occur after the drug was administered?</w:t>
      </w:r>
    </w:p>
    <w:p>
      <w:pPr>
        <w:spacing w:after="120"/>
      </w:pPr>
      <w:r>
        <w:t xml:space="preserve">Yes. The rash developed 3 days into amoxicillin therapy. This falls within the typical window (roughly Day 3-10) for non-immediate, delayed-type hypersensitivity reactions to beta-lactam antibiotics, making the timing biologically plausible.</w:t>
      </w:r>
    </w:p>
    <w:p>
      <w:pPr>
        <w:pStyle w:val="Heading2"/>
        <w:spacing w:after="90" w:before="180"/>
      </w:pPr>
      <w:r>
        <w:t xml:space="preserve">2. Dechallenge — Did the reaction improve after stopping the drug?</w:t>
      </w:r>
    </w:p>
    <w:p>
      <w:pPr>
        <w:spacing w:after="120"/>
      </w:pPr>
      <w:r>
        <w:t xml:space="preserve">Yes. The patient recovered once amoxicillin was discontinued. A positive dechallenge is one of the strongest pieces of evidence linking a drug to a reaction, as it demonstrates the reaction is reversible and tied to drug exposure.</w:t>
      </w:r>
    </w:p>
    <w:p>
      <w:pPr>
        <w:pStyle w:val="Heading2"/>
        <w:spacing w:after="90" w:before="180"/>
      </w:pPr>
      <w:r>
        <w:t xml:space="preserve">3. Alternative Causes — Could the reaction be explained by another cause?</w:t>
      </w:r>
    </w:p>
    <w:p>
      <w:pPr>
        <w:spacing w:after="120"/>
      </w:pPr>
      <w:r>
        <w:t xml:space="preserve">No alternative explanation is documented in the case — no other new medication, infection, or pre-existing skin condition is mentioned. This strengthens the case for amoxicillin as the causal agent, though absence of documentation is not the same as an exhaustive rule-out.</w:t>
      </w:r>
    </w:p>
    <w:p>
      <w:pPr>
        <w:pStyle w:val="Heading2"/>
        <w:spacing w:after="90" w:before="180"/>
      </w:pPr>
      <w:r>
        <w:t xml:space="preserve">4. Rechallenge — Did the reaction reappear on re-administration?</w:t>
      </w:r>
    </w:p>
    <w:p>
      <w:pPr>
        <w:spacing w:after="120"/>
      </w:pPr>
      <w:r>
        <w:t xml:space="preserve">Rechallenge was not performed (and would not typically be recommended here for patient safety once a drug-induced rash is suspected). Because this criterion is unmet, the case cannot satisfy the strictest evidentiary bar.</w:t>
      </w:r>
    </w:p>
    <w:p>
      <w:pPr>
        <w:pStyle w:val="Heading1"/>
        <w:spacing w:after="120" w:before="260"/>
      </w:pPr>
      <w:r>
        <w:t xml:space="preserve">Causality Classification</w:t>
      </w:r>
    </w:p>
    <w:p>
      <w:pPr>
        <w:spacing w:after="120"/>
      </w:pPr>
      <w:r>
        <w:rPr>
          <w:b/>
          <w:bCs/>
          <w:color w:val="2E7D32"/>
          <w:sz w:val="26"/>
          <w:szCs w:val="26"/>
        </w:rPr>
        <w:t xml:space="preserve">Classification: PROBABLE</w:t>
      </w:r>
    </w:p>
    <w:p>
      <w:pPr>
        <w:spacing w:after="120"/>
      </w:pPr>
      <w:r>
        <w:t xml:space="preserve">Justification: The case shows a positive temporal relationship, a positive dechallenge, and no identified alternative cause — three of the four criteria are satisfied. However, because rechallenge was not performed, the relationship cannot be confirmed with the certainty required for a 'Certain' classification (which requires a positive rechallenge as definitive proof). At the same time, the strength of the other evidence — particularly the positive dechallenge and lack of confounders — rules out 'Possible,' which is reserved for cases where the relationship is weaker or alternative causes cannot be excluded.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Certain — not met (requires positive rechallenge, which was not done)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Probable — met (temporal relationship + positive dechallenge + no alternative cause, but no rechallenge)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Possible — exceeded (evidence is stronger than 'relationship cannot be ruled out')</w:t>
      </w:r>
    </w:p>
    <w:p>
      <w:pPr>
        <w:pStyle w:val="Heading1"/>
        <w:spacing w:after="120" w:before="260"/>
      </w:pPr>
      <w:r>
        <w:t xml:space="preserve">Conclusion</w:t>
      </w:r>
    </w:p>
    <w:p>
      <w:pPr>
        <w:spacing w:after="120"/>
      </w:pPr>
      <w:r>
        <w:t xml:space="preserve">Based on standard causality assessment methodology, the skin rash experienced by this 45-year-old patient is classified as PROBABLY related to amoxicillin. This aligns with the WHO-UMC causality scale definition of 'Probable/Likely': a reasonable time sequence, unlikely to be attributed to disease or other drugs, and a clinically reasonable response on withdrawal, with rechallenge not required for this classification level.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2026-07-21T05:51:19.353Z</dcterms:created>
  <dcterms:modified xsi:type="dcterms:W3CDTF">2026-07-21T05:51:19.366Z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