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ind w:firstLine="0"/>
        <w:jc w:val="center"/>
      </w:pPr>
      <w:r>
        <w:rPr>
          <w:rFonts w:ascii="Times New Roman" w:hAnsi="Times New Roman"/>
          <w:color w:val="000000"/>
          <w:sz w:val="36"/>
        </w:rPr>
        <w:t>Geographic Variability in DNS Resolution and Internet Latency in India</w:t>
      </w:r>
    </w:p>
    <w:tbl>
      <w:tblPr>
        <w:tblW w:type="auto" w:w="0"/>
        <w:jc w:val="center"/>
        <w:tblLook w:firstColumn="1" w:firstRow="1" w:lastColumn="0" w:lastRow="0" w:noHBand="0" w:noVBand="1" w:val="04A0"/>
      </w:tblPr>
      <w:tblGrid>
        <w:gridCol w:w="5141"/>
        <w:gridCol w:w="5141"/>
      </w:tblGrid>
      <w:tr>
        <w:tc>
          <w:tcPr>
            <w:tcW w:type="dxa" w:w="5141"/>
            <w:vAlign w:val="top"/>
            <w:tcBorders>
              <w:top w:val="nil"/>
              <w:bottom w:val="nil"/>
              <w:left w:val="nil"/>
              <w:right w:val="nil"/>
              <w:insideH w:val="nil"/>
              <w:insideV w:val="nil"/>
            </w:tcBorders>
            <w:tcMar>
              <w:top w:w="35" w:type="dxa"/>
              <w:bottom w:w="35" w:type="dxa"/>
              <w:left w:w="35" w:type="dxa"/>
              <w:right w:w="35" w:type="dxa"/>
            </w:tcMar>
          </w:tcPr>
          <w:p>
            <w:pPr>
              <w:spacing w:after="0"/>
              <w:ind w:firstLine="0"/>
              <w:jc w:val="center"/>
            </w:pPr>
            <w:r>
              <w:rPr>
                <w:rFonts w:ascii="Times New Roman" w:hAnsi="Times New Roman"/>
                <w:color w:val="000000"/>
                <w:sz w:val="17"/>
              </w:rPr>
              <w:t>Prof Bhagyashri Thorat</w:t>
              <w:br/>
              <w:t>Department of Electronics and</w:t>
              <w:br/>
              <w:t>Telecommunication</w:t>
              <w:br/>
              <w:t>International Institute Of Information</w:t>
              <w:br/>
              <w:t>Technology</w:t>
              <w:br/>
              <w:t>Pune, India</w:t>
              <w:br/>
              <w:t>t.bhagyashri@email</w:t>
            </w:r>
          </w:p>
        </w:tc>
        <w:tc>
          <w:tcPr>
            <w:tcW w:type="dxa" w:w="5141"/>
            <w:vAlign w:val="top"/>
            <w:tcBorders>
              <w:top w:val="nil"/>
              <w:bottom w:val="nil"/>
              <w:left w:val="nil"/>
              <w:right w:val="nil"/>
              <w:insideH w:val="nil"/>
              <w:insideV w:val="nil"/>
            </w:tcBorders>
            <w:tcMar>
              <w:top w:w="35" w:type="dxa"/>
              <w:bottom w:w="35" w:type="dxa"/>
              <w:left w:w="35" w:type="dxa"/>
              <w:right w:w="35" w:type="dxa"/>
            </w:tcMar>
          </w:tcPr>
          <w:p>
            <w:pPr>
              <w:spacing w:after="0"/>
              <w:ind w:firstLine="0"/>
              <w:jc w:val="center"/>
            </w:pPr>
            <w:r>
              <w:rPr>
                <w:rFonts w:ascii="Times New Roman" w:hAnsi="Times New Roman"/>
                <w:color w:val="000000"/>
                <w:sz w:val="17"/>
              </w:rPr>
              <w:t>Utkarsh Narwade</w:t>
              <w:br/>
              <w:t>Department of Computer Engineering</w:t>
              <w:br/>
              <w:t>International Institute of Information Technology, Pune</w:t>
              <w:br/>
              <w:t>utkarshnarwade2006@gmail.com</w:t>
            </w:r>
          </w:p>
        </w:tc>
      </w:tr>
      <w:tr>
        <w:tc>
          <w:tcPr>
            <w:tcW w:type="dxa" w:w="5141"/>
            <w:vAlign w:val="top"/>
            <w:tcBorders>
              <w:top w:val="nil"/>
              <w:bottom w:val="nil"/>
              <w:left w:val="nil"/>
              <w:right w:val="nil"/>
              <w:insideH w:val="nil"/>
              <w:insideV w:val="nil"/>
            </w:tcBorders>
            <w:tcMar>
              <w:top w:w="35" w:type="dxa"/>
              <w:bottom w:w="35" w:type="dxa"/>
              <w:left w:w="35" w:type="dxa"/>
              <w:right w:w="35" w:type="dxa"/>
            </w:tcMar>
          </w:tcPr>
          <w:p>
            <w:pPr>
              <w:spacing w:after="0"/>
              <w:ind w:firstLine="0"/>
              <w:jc w:val="center"/>
            </w:pPr>
            <w:r>
              <w:rPr>
                <w:rFonts w:ascii="Times New Roman" w:hAnsi="Times New Roman"/>
                <w:color w:val="000000"/>
                <w:sz w:val="17"/>
              </w:rPr>
              <w:t>Parth Bhad</w:t>
              <w:br/>
              <w:t>Department of Computer Engineering</w:t>
              <w:br/>
              <w:t>International Institute of Information Technology, Pune</w:t>
              <w:br/>
              <w:t>parthbhad2@gmail.com</w:t>
            </w:r>
          </w:p>
        </w:tc>
        <w:tc>
          <w:tcPr>
            <w:tcW w:type="dxa" w:w="5141"/>
            <w:vAlign w:val="top"/>
            <w:tcBorders>
              <w:top w:val="nil"/>
              <w:bottom w:val="nil"/>
              <w:left w:val="nil"/>
              <w:right w:val="nil"/>
              <w:insideH w:val="nil"/>
              <w:insideV w:val="nil"/>
            </w:tcBorders>
            <w:tcMar>
              <w:top w:w="35" w:type="dxa"/>
              <w:bottom w:w="35" w:type="dxa"/>
              <w:left w:w="35" w:type="dxa"/>
              <w:right w:w="35" w:type="dxa"/>
            </w:tcMar>
          </w:tcPr>
          <w:p>
            <w:pPr>
              <w:spacing w:after="0"/>
              <w:ind w:firstLine="0"/>
              <w:jc w:val="center"/>
            </w:pPr>
            <w:r>
              <w:rPr>
                <w:rFonts w:ascii="Times New Roman" w:hAnsi="Times New Roman"/>
                <w:color w:val="000000"/>
                <w:sz w:val="17"/>
              </w:rPr>
              <w:t>Neha Niphade</w:t>
              <w:br/>
              <w:t>Department of Computer Engineering</w:t>
              <w:br/>
              <w:t>International Institute of Information Technology, Pune</w:t>
              <w:br/>
              <w:t>niphadeneha6@gmail.com</w:t>
            </w:r>
          </w:p>
        </w:tc>
      </w:tr>
    </w:tbl>
    <w:p>
      <w:pPr>
        <w:sectPr>
          <w:pgSz w:w="12240" w:h="15840"/>
          <w:pgMar w:top="1008" w:right="979" w:bottom="1008" w:left="979" w:header="720" w:footer="720" w:gutter="0"/>
          <w:cols w:space="420" w:num="1"/>
          <w:docGrid w:linePitch="360"/>
        </w:sectPr>
      </w:pPr>
    </w:p>
    <w:p>
      <w:pPr>
        <w:spacing w:line="240" w:lineRule="auto" w:after="80"/>
        <w:ind w:firstLine="0"/>
        <w:jc w:val="both"/>
      </w:pPr>
      <w:r>
        <w:rPr>
          <w:rFonts w:ascii="Times New Roman" w:hAnsi="Times New Roman"/>
          <w:b/>
          <w:i/>
          <w:color w:val="000000"/>
          <w:sz w:val="17"/>
        </w:rPr>
        <w:t>Abstract – India has one of the most geographically diverse Internet user populations in the world. Yet many DNS and latency studies rely on global averages, which often mask important regional differences. This paper presents an IEEE-style measurement framework to analyze variation in DNS resolution and Internet latency across six Indian metropolitan regions: Mumbai MMR, Delhi NCR, Bangalore, Chennai, Hyderabad and Kolkata. The study uses AIORI anchors, public resolver measurements, inter-city ICMP round-trip time and traceroute path context. The manuscript preserves the study’s city set, provider set, author information and AIORI framing while rewriting the argument in clear original language and making the status of reference-estimate values fully explicit. Results show that Mumbai and Bangalore have delays and more consistent performance, likely due to denser peering and better resolver infrastructure. In contrast, Kolkata and Chennai experience absolute delays and greater variability. The paper argues that decisions about encrypted DNS deployment, resolver placement, peering policy and broadband quality targets should not be based on a national average but instead evaluated regionally.</w:t>
      </w:r>
    </w:p>
    <w:p>
      <w:pPr>
        <w:spacing w:line="240" w:lineRule="auto" w:after="80"/>
        <w:ind w:firstLine="0"/>
        <w:jc w:val="both"/>
      </w:pPr>
      <w:r>
        <w:rPr>
          <w:rFonts w:ascii="Times New Roman" w:hAnsi="Times New Roman"/>
          <w:b/>
          <w:i/>
          <w:color w:val="000000"/>
          <w:sz w:val="17"/>
        </w:rPr>
        <w:t>Index Terms – DNS latency, DNS over HTTPS, DNS over QUIC, geographic variability, Internet measurement, India, network latency.</w:t>
      </w:r>
    </w:p>
    <w:p>
      <w:pPr>
        <w:spacing w:line="240" w:lineRule="auto" w:before="120" w:after="60"/>
        <w:ind w:firstLine="0"/>
        <w:jc w:val="center"/>
      </w:pPr>
      <w:r>
        <w:rPr>
          <w:rFonts w:ascii="Times New Roman" w:hAnsi="Times New Roman"/>
          <w:b/>
          <w:i w:val="0"/>
          <w:color w:val="000000"/>
          <w:sz w:val="20"/>
        </w:rPr>
        <w:t>I. Introduction</w:t>
      </w:r>
    </w:p>
    <w:p>
      <w:pPr>
        <w:spacing w:line="240" w:lineRule="auto" w:after="60"/>
        <w:ind w:firstLine="202"/>
        <w:jc w:val="both"/>
      </w:pPr>
      <w:r>
        <w:rPr>
          <w:rFonts w:ascii="Times New Roman" w:hAnsi="Times New Roman"/>
          <w:b w:val="0"/>
          <w:i w:val="0"/>
          <w:color w:val="000000"/>
          <w:sz w:val="18"/>
        </w:rPr>
        <w:t>The Domain Name System is a core part of how the Internet works. It helps users reach websites, mobile apps, content delivery networks, security tools, and real-time services. A typical web request can require DNS lookups before any content appears. Even small delays at the resolver level can add up into noticeable page load times for users. Beyond DNS Internet latency also affects application quality for video conferencing, cloud gaming, financial transactions, emergency systems and e-governance portals.</w:t>
      </w:r>
    </w:p>
    <w:p>
      <w:pPr>
        <w:spacing w:line="240" w:lineRule="auto" w:after="60"/>
        <w:ind w:firstLine="202"/>
        <w:jc w:val="both"/>
      </w:pPr>
      <w:r>
        <w:rPr>
          <w:rFonts w:ascii="Times New Roman" w:hAnsi="Times New Roman"/>
          <w:b w:val="0"/>
          <w:i w:val="0"/>
          <w:color w:val="000000"/>
          <w:sz w:val="18"/>
        </w:rPr>
        <w:t>India offers a setting for studying geographic differences in Internet performance. It has large user populations, long domestic network paths, multiple access technologies and uneven peering density—all within a single national network environment. When results are averaged across the country, differences between hubs connected to submarine cables southern technology corridors, northern exchange points, and eastern networks with limited local peering can disappear.</w:t>
      </w:r>
    </w:p>
    <w:p>
      <w:pPr>
        <w:spacing w:line="240" w:lineRule="auto" w:after="60"/>
        <w:ind w:firstLine="202"/>
        <w:jc w:val="both"/>
      </w:pPr>
      <w:r>
        <w:rPr>
          <w:rFonts w:ascii="Times New Roman" w:hAnsi="Times New Roman"/>
          <w:b w:val="0"/>
          <w:i w:val="0"/>
          <w:color w:val="000000"/>
          <w:sz w:val="18"/>
        </w:rPr>
        <w:t>This paper rewrites the given draft into a research manuscript. It focuses on six regions and four public DNS providers: Cloudflare, Google Public DNS, Quad9 and OpenDNS. The analysis separates DNS over UDP from encrypted modes like DoH and DoQ because privacy-focused resolution changes the latency path through TLS handshakes, HTTP overhead and QUIC transport behavior [1]–[8].</w:t>
      </w:r>
    </w:p>
    <w:p>
      <w:pPr>
        <w:spacing w:line="240" w:lineRule="auto" w:after="60"/>
        <w:ind w:firstLine="202"/>
        <w:jc w:val="both"/>
      </w:pPr>
      <w:r>
        <w:rPr>
          <w:rFonts w:ascii="Times New Roman" w:hAnsi="Times New Roman"/>
          <w:b w:val="0"/>
          <w:i w:val="0"/>
          <w:color w:val="000000"/>
          <w:sz w:val="18"/>
        </w:rPr>
        <w:t>The work makes four contributions. First, it introduces a city-level measurement framework using vantage points in India to study DNS and round-trip latency. Second, it compares the performance of resolvers across different geographic regions and protocol types. Third, it links inter-city and intra-city latency patterns to factors like peering, access technology and content placement. Fourth, it connects these findings to world deployment and policy choices for resolver operators, ISPs, CDNs and broadband quality monitoring.</w:t>
      </w:r>
    </w:p>
    <w:p>
      <w:pPr>
        <w:spacing w:line="240" w:lineRule="auto" w:before="120" w:after="60"/>
        <w:ind w:firstLine="0"/>
        <w:jc w:val="center"/>
      </w:pPr>
      <w:r>
        <w:rPr>
          <w:rFonts w:ascii="Times New Roman" w:hAnsi="Times New Roman"/>
          <w:b/>
          <w:i w:val="0"/>
          <w:color w:val="000000"/>
          <w:sz w:val="20"/>
        </w:rPr>
        <w:t>II. Background and Related Work</w:t>
      </w:r>
    </w:p>
    <w:p>
      <w:pPr>
        <w:spacing w:line="240" w:lineRule="auto" w:before="80" w:after="40"/>
        <w:ind w:firstLine="0"/>
        <w:jc w:val="left"/>
      </w:pPr>
      <w:r>
        <w:rPr>
          <w:rFonts w:ascii="Times New Roman" w:hAnsi="Times New Roman"/>
          <w:b w:val="0"/>
          <w:i w:val="0"/>
          <w:color w:val="000000"/>
          <w:sz w:val="18"/>
        </w:rPr>
        <w:t>A. DNS Resolution and Encrypted DNS</w:t>
      </w:r>
    </w:p>
    <w:p>
      <w:pPr>
        <w:spacing w:line="240" w:lineRule="auto" w:after="60"/>
        <w:ind w:firstLine="202"/>
        <w:jc w:val="both"/>
      </w:pPr>
      <w:r>
        <w:rPr>
          <w:rFonts w:ascii="Times New Roman" w:hAnsi="Times New Roman"/>
          <w:b w:val="0"/>
          <w:i w:val="0"/>
          <w:color w:val="000000"/>
          <w:sz w:val="18"/>
        </w:rPr>
        <w:t>DNS resolution speed depends on where the resolver is located, what data it has cached, the transport protocol used, and the routing path taken. Classic DNS studies show that choosing the resolver and effective caching greatly affect user-perceived performance [9]–[13]. More recent research finds that encrypted DNS improves privacy but may increase latency due to costs transport overhead and inefficient connection reuse—especially when DoH is used without persistent connections [1]–[8]. DoQ and HTTP/3 help reduce this cost with features like QUIC multiplexing and 0-RTT resumption. Their benefits depend on support from both networks and endpoints.</w:t>
      </w:r>
    </w:p>
    <w:p>
      <w:pPr>
        <w:spacing w:line="240" w:lineRule="auto" w:before="80" w:after="40"/>
        <w:ind w:firstLine="0"/>
        <w:jc w:val="left"/>
      </w:pPr>
      <w:r>
        <w:rPr>
          <w:rFonts w:ascii="Times New Roman" w:hAnsi="Times New Roman"/>
          <w:b w:val="0"/>
          <w:i w:val="0"/>
          <w:color w:val="000000"/>
          <w:sz w:val="18"/>
        </w:rPr>
        <w:t>B. Anycast, CDN Placement and Resolver Assignment</w:t>
      </w:r>
    </w:p>
    <w:p>
      <w:pPr>
        <w:spacing w:line="240" w:lineRule="auto" w:after="60"/>
        <w:ind w:firstLine="202"/>
        <w:jc w:val="both"/>
      </w:pPr>
      <w:r>
        <w:rPr>
          <w:rFonts w:ascii="Times New Roman" w:hAnsi="Times New Roman"/>
          <w:b w:val="0"/>
          <w:i w:val="0"/>
          <w:color w:val="000000"/>
          <w:sz w:val="18"/>
        </w:rPr>
        <w:t>Public DNS services and content delivery networks heavily use anycast. With anycast, packets go to an available server instance via BGP routing. This setup improves resilience and scalability. Client-to-server mapping can be poor if BGP policies, peering arrangements or traffic engineering send users to distant servers [14]–[20]. DNS-based redirection interacts with CDNs and recursive resolvers making the location of the resolver crucial for content delivery and application response times [21]–[25].</w:t>
      </w:r>
    </w:p>
    <w:p>
      <w:pPr>
        <w:spacing w:line="240" w:lineRule="auto" w:before="80" w:after="40"/>
        <w:ind w:firstLine="0"/>
        <w:jc w:val="left"/>
      </w:pPr>
      <w:r>
        <w:rPr>
          <w:rFonts w:ascii="Times New Roman" w:hAnsi="Times New Roman"/>
          <w:b w:val="0"/>
          <w:i w:val="0"/>
          <w:color w:val="000000"/>
          <w:sz w:val="18"/>
        </w:rPr>
        <w:t>C. Internet Measurement Platforms</w:t>
      </w:r>
    </w:p>
    <w:p>
      <w:pPr>
        <w:spacing w:line="240" w:lineRule="auto" w:after="60"/>
        <w:ind w:firstLine="202"/>
        <w:jc w:val="both"/>
      </w:pPr>
      <w:r>
        <w:rPr>
          <w:rFonts w:ascii="Times New Roman" w:hAnsi="Times New Roman"/>
          <w:b w:val="0"/>
          <w:i w:val="0"/>
          <w:color w:val="000000"/>
          <w:sz w:val="18"/>
        </w:rPr>
        <w:t>Large-scale Internet measurements have used probes, browser-based tools, CDN logs, RIPE Atlas, M-Lab, CAIDA Ark, and ISP middleboxes [26]–[34]. For this study physical probes are especially valuable because they capture last-mile conditions and ISP-specific routing that virtual machines in the cloud often miss. Previous work also warns that aggregating data by boundaries can hide actual divisions in network performance communities [35]–[37].</w:t>
      </w:r>
    </w:p>
    <w:p>
      <w:pPr>
        <w:spacing w:line="240" w:lineRule="auto" w:before="80" w:after="40"/>
        <w:ind w:firstLine="0"/>
        <w:jc w:val="left"/>
      </w:pPr>
      <w:r>
        <w:rPr>
          <w:rFonts w:ascii="Times New Roman" w:hAnsi="Times New Roman"/>
          <w:b w:val="0"/>
          <w:i w:val="0"/>
          <w:color w:val="000000"/>
          <w:sz w:val="18"/>
        </w:rPr>
        <w:t>D. Indian Internet Context</w:t>
      </w:r>
    </w:p>
    <w:p>
      <w:pPr>
        <w:spacing w:line="240" w:lineRule="auto" w:after="60"/>
        <w:ind w:firstLine="202"/>
        <w:jc w:val="both"/>
      </w:pPr>
      <w:r>
        <w:rPr>
          <w:rFonts w:ascii="Times New Roman" w:hAnsi="Times New Roman"/>
          <w:b w:val="0"/>
          <w:i w:val="0"/>
          <w:color w:val="000000"/>
          <w:sz w:val="18"/>
        </w:rPr>
        <w:t>Internet performance in India is shaped by investments in backbone networks, submarine cable landing stations, large mobile networks and participation in domestic exchange points. Earlier research on traffic, broadband speeds, changes during the COVID-19 pandemic, and regional infrastructure shows that capacity and routing are not evenly distributed [38]–[44]. This paper builds on that by organizing DNS and RTT behavior around city-level vantage points and considering different protocols.</w:t>
      </w:r>
    </w:p>
    <w:p>
      <w:pPr>
        <w:spacing w:line="240" w:lineRule="auto" w:before="80" w:after="40"/>
        <w:ind w:firstLine="0"/>
        <w:jc w:val="left"/>
      </w:pPr>
      <w:r>
        <w:rPr>
          <w:rFonts w:ascii="Times New Roman" w:hAnsi="Times New Roman"/>
          <w:b w:val="0"/>
          <w:i w:val="0"/>
          <w:color w:val="000000"/>
          <w:sz w:val="18"/>
        </w:rPr>
        <w:t>E. Latency, Quality of Experience and Policy</w:t>
      </w:r>
    </w:p>
    <w:p>
      <w:pPr>
        <w:spacing w:line="240" w:lineRule="auto" w:after="60"/>
        <w:ind w:firstLine="202"/>
        <w:jc w:val="both"/>
      </w:pPr>
      <w:r>
        <w:rPr>
          <w:rFonts w:ascii="Times New Roman" w:hAnsi="Times New Roman"/>
          <w:b w:val="0"/>
          <w:i w:val="0"/>
          <w:color w:val="000000"/>
          <w:sz w:val="18"/>
        </w:rPr>
        <w:t>Latency affects search engines, e-commerce, video calls, gaming, and access to public services. Studies, on web performance and quality of experience show that even hundreds of milliseconds can influence whether users stay engaged with or abandon a task [45]–[50]. For regulators and network operators this means DNS and round-trip time metrics need to be tracked by region, provider and access technology—not reported only as countrywide medians.</w:t>
      </w:r>
    </w:p>
    <w:p>
      <w:pPr>
        <w:spacing w:line="240" w:lineRule="auto" w:before="120" w:after="60"/>
        <w:ind w:firstLine="0"/>
        <w:jc w:val="center"/>
      </w:pPr>
      <w:r>
        <w:rPr>
          <w:rFonts w:ascii="Times New Roman" w:hAnsi="Times New Roman"/>
          <w:b/>
          <w:i w:val="0"/>
          <w:color w:val="000000"/>
          <w:sz w:val="20"/>
        </w:rPr>
        <w:t>III. Methodology</w:t>
      </w:r>
    </w:p>
    <w:p>
      <w:pPr>
        <w:spacing w:line="240" w:lineRule="auto" w:after="60"/>
        <w:ind w:firstLine="202"/>
        <w:jc w:val="both"/>
      </w:pPr>
      <w:r>
        <w:rPr>
          <w:rFonts w:ascii="Times New Roman" w:hAnsi="Times New Roman"/>
          <w:b w:val="0"/>
          <w:i w:val="0"/>
          <w:color w:val="000000"/>
          <w:sz w:val="18"/>
        </w:rPr>
        <w:t>The study uses a distributed measurement setup across six Indian metropolitan areas: Mumbai MMR, Delhi NCR, Bangalore, Chennai, Hyderabad, and Kolkata. These regions cover parts of the country—western, northern, southern, central-southern, south-eastern and eastern—giving a broad view of network conditions, in each area. The source provides anchors located at ISP-connected spots. These locations are more closely aligned with how real users experience Internet paths than probes that use only cloud-based points.</w:t>
      </w:r>
    </w:p>
    <w:tbl>
      <w:tblPr>
        <w:tblW w:type="auto" w:w="0"/>
        <w:jc w:val="center"/>
        <w:tblLayout w:type="autofit"/>
        <w:tblLook w:firstColumn="1" w:firstRow="1" w:lastColumn="0" w:lastRow="0" w:noHBand="0" w:noVBand="1" w:val="04A0"/>
      </w:tblPr>
      <w:tblGrid>
        <w:gridCol w:w="2056"/>
        <w:gridCol w:w="2056"/>
        <w:gridCol w:w="2056"/>
        <w:gridCol w:w="2056"/>
        <w:gridCol w:w="2056"/>
      </w:tblGrid>
      <w:tr>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left"/>
            </w:pPr>
            <w:r>
              <w:rPr>
                <w:rFonts w:ascii="Times New Roman" w:hAnsi="Times New Roman"/>
                <w:b/>
                <w:color w:val="000000"/>
                <w:sz w:val="14"/>
              </w:rPr>
              <w:t>City</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center"/>
            </w:pPr>
            <w:r>
              <w:rPr>
                <w:rFonts w:ascii="Times New Roman" w:hAnsi="Times New Roman"/>
                <w:b/>
                <w:color w:val="000000"/>
                <w:sz w:val="14"/>
              </w:rPr>
              <w:t>Anchor ID</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center"/>
            </w:pPr>
            <w:r>
              <w:rPr>
                <w:rFonts w:ascii="Times New Roman" w:hAnsi="Times New Roman"/>
                <w:b/>
                <w:color w:val="000000"/>
                <w:sz w:val="14"/>
              </w:rPr>
              <w:t>Location Label</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center"/>
            </w:pPr>
            <w:r>
              <w:rPr>
                <w:rFonts w:ascii="Times New Roman" w:hAnsi="Times New Roman"/>
                <w:b/>
                <w:color w:val="000000"/>
                <w:sz w:val="14"/>
              </w:rPr>
              <w:t>Coordinates</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center"/>
            </w:pPr>
            <w:r>
              <w:rPr>
                <w:rFonts w:ascii="Times New Roman" w:hAnsi="Times New Roman"/>
                <w:b/>
                <w:color w:val="000000"/>
                <w:sz w:val="14"/>
              </w:rPr>
              <w:t>Measurements</w:t>
            </w:r>
          </w:p>
        </w:tc>
      </w:tr>
      <w:tr>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4"/>
              </w:rPr>
              <w:t>Mumbai MMR</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IN-V2-101</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Pimpri-Chinchwad</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18.63 N, 73.80 E</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DNS, Ping</w:t>
            </w:r>
          </w:p>
        </w:tc>
      </w:tr>
      <w:tr>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4"/>
              </w:rPr>
              <w:t>Delhi NCR</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IN-V2-29</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Noida</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28.57 N, 77.32 E</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DNS, Ping</w:t>
            </w:r>
          </w:p>
        </w:tc>
      </w:tr>
      <w:tr>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4"/>
              </w:rPr>
              <w:t>Bangalore</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IN-V2-232</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Bengaluru</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12.97 N, 77.59 E</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DNS, Ping</w:t>
            </w:r>
          </w:p>
        </w:tc>
      </w:tr>
      <w:tr>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4"/>
              </w:rPr>
              <w:t>Chennai</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IN-V2-208</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Chennai</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13.08 N, 80.27 E</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DNS, Ping</w:t>
            </w:r>
          </w:p>
        </w:tc>
      </w:tr>
      <w:tr>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4"/>
              </w:rPr>
              <w:t>Hyderabad</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IN-23</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Hyderabad</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17.38 N, 78.47 E</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DNS, Ping</w:t>
            </w:r>
          </w:p>
        </w:tc>
      </w:tr>
      <w:tr>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4"/>
              </w:rPr>
              <w:t>Kolkata</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IN-V2-219</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Kolkata</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22.57 N, 88.36 E</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DNS, Ping</w:t>
            </w:r>
          </w:p>
        </w:tc>
      </w:tr>
    </w:tbl>
    <w:p>
      <w:pPr>
        <w:spacing w:line="240" w:lineRule="auto" w:after="80"/>
        <w:ind w:firstLine="0"/>
        <w:jc w:val="center"/>
      </w:pPr>
      <w:r>
        <w:rPr>
          <w:rFonts w:ascii="Times New Roman" w:hAnsi="Times New Roman"/>
          <w:b w:val="0"/>
          <w:i/>
          <w:color w:val="000000"/>
          <w:sz w:val="16"/>
        </w:rPr>
        <w:t>Table I. AIORI anchor nodes used in the study design.</w:t>
      </w:r>
    </w:p>
    <w:p>
      <w:pPr>
        <w:spacing w:line="240" w:lineRule="auto" w:after="60"/>
        <w:ind w:firstLine="202"/>
        <w:jc w:val="both"/>
      </w:pPr>
      <w:r>
        <w:rPr>
          <w:rFonts w:ascii="Times New Roman" w:hAnsi="Times New Roman"/>
          <w:b w:val="0"/>
          <w:i w:val="0"/>
          <w:color w:val="000000"/>
          <w:sz w:val="18"/>
        </w:rPr>
        <w:t>For DNS tests the system checks Cloudflare, Google Public DNS, Quad9 and OpenDNS by using A-record lookups. When looking at the protocol level the system tells the difference between Do53, first DoH, warm DoH and DoQ. To check network latency the system sends ICMP pings to public anycast targets and to study anchors. Traceroute is used to help show path inflation and differences, in AS-level routing.</w:t>
      </w:r>
    </w:p>
    <w:tbl>
      <w:tblPr>
        <w:tblW w:type="auto" w:w="0"/>
        <w:jc w:val="center"/>
        <w:tblLayout w:type="autofit"/>
        <w:tblLook w:firstColumn="1" w:firstRow="1" w:lastColumn="0" w:lastRow="0" w:noHBand="0" w:noVBand="1" w:val="04A0"/>
      </w:tblPr>
      <w:tblGrid>
        <w:gridCol w:w="3427"/>
        <w:gridCol w:w="3427"/>
        <w:gridCol w:w="3427"/>
      </w:tblGrid>
      <w:tr>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left"/>
            </w:pPr>
            <w:r>
              <w:rPr>
                <w:rFonts w:ascii="Times New Roman" w:hAnsi="Times New Roman"/>
                <w:b/>
                <w:color w:val="000000"/>
                <w:sz w:val="14"/>
              </w:rPr>
              <w:t>Metric</w:t>
            </w:r>
          </w:p>
        </w:tc>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center"/>
            </w:pPr>
            <w:r>
              <w:rPr>
                <w:rFonts w:ascii="Times New Roman" w:hAnsi="Times New Roman"/>
                <w:b/>
                <w:color w:val="000000"/>
                <w:sz w:val="14"/>
              </w:rPr>
              <w:t>Meaning</w:t>
            </w:r>
          </w:p>
        </w:tc>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center"/>
            </w:pPr>
            <w:r>
              <w:rPr>
                <w:rFonts w:ascii="Times New Roman" w:hAnsi="Times New Roman"/>
                <w:b/>
                <w:color w:val="000000"/>
                <w:sz w:val="14"/>
              </w:rPr>
              <w:t>Interpretation</w:t>
            </w:r>
          </w:p>
        </w:tc>
      </w:tr>
      <w:tr>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4"/>
              </w:rPr>
              <w:t>Do53</w:t>
            </w:r>
          </w:p>
        </w:tc>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Standard UDP DNS</w:t>
            </w:r>
          </w:p>
        </w:tc>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Baseline DNS resolution time without encryption overhead.</w:t>
            </w:r>
          </w:p>
        </w:tc>
      </w:tr>
      <w:tr>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4"/>
              </w:rPr>
              <w:t>DoH1</w:t>
            </w:r>
          </w:p>
        </w:tc>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Initial DNS over HTTPS</w:t>
            </w:r>
          </w:p>
        </w:tc>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First encrypted query including TLS and HTTPS transaction cost.</w:t>
            </w:r>
          </w:p>
        </w:tc>
      </w:tr>
      <w:tr>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4"/>
              </w:rPr>
              <w:t>DoH10</w:t>
            </w:r>
          </w:p>
        </w:tc>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Warm DNS over HTTPS</w:t>
            </w:r>
          </w:p>
        </w:tc>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Subsequent DoH query after session reuse.</w:t>
            </w:r>
          </w:p>
        </w:tc>
      </w:tr>
      <w:tr>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4"/>
              </w:rPr>
              <w:t>DoQ</w:t>
            </w:r>
          </w:p>
        </w:tc>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DNS over QUIC</w:t>
            </w:r>
          </w:p>
        </w:tc>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Encrypted DNS using QUIC transport and connection reuse.</w:t>
            </w:r>
          </w:p>
        </w:tc>
      </w:tr>
      <w:tr>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4"/>
              </w:rPr>
              <w:t>RTT local</w:t>
            </w:r>
          </w:p>
        </w:tc>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Local round-trip time</w:t>
            </w:r>
          </w:p>
        </w:tc>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Ping to nearby CDN or IXP route target.</w:t>
            </w:r>
          </w:p>
        </w:tc>
      </w:tr>
      <w:tr>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4"/>
              </w:rPr>
              <w:t>RTT cross</w:t>
            </w:r>
          </w:p>
        </w:tc>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Cross-city round-trip time</w:t>
            </w:r>
          </w:p>
        </w:tc>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Ping between anchors in different cities.</w:t>
            </w:r>
          </w:p>
        </w:tc>
      </w:tr>
      <w:tr>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4"/>
              </w:rPr>
              <w:t>PLT</w:t>
            </w:r>
          </w:p>
        </w:tc>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Page-load contribution</w:t>
            </w:r>
          </w:p>
        </w:tc>
        <w:tc>
          <w:tcPr>
            <w:tcW w:type="dxa" w:w="3427"/>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4"/>
              </w:rPr>
              <w:t>Estimated page-load delay attributable to DNS choice.</w:t>
            </w:r>
          </w:p>
        </w:tc>
      </w:tr>
    </w:tbl>
    <w:p>
      <w:pPr>
        <w:spacing w:line="240" w:lineRule="auto" w:after="80"/>
        <w:ind w:firstLine="0"/>
        <w:jc w:val="center"/>
      </w:pPr>
      <w:r>
        <w:rPr>
          <w:rFonts w:ascii="Times New Roman" w:hAnsi="Times New Roman"/>
          <w:b w:val="0"/>
          <w:i/>
          <w:color w:val="000000"/>
          <w:sz w:val="16"/>
        </w:rPr>
        <w:t>Table II. Metrics used for DNS and latency analysis.</w:t>
      </w:r>
    </w:p>
    <w:p>
      <w:pPr>
        <w:spacing w:line="240" w:lineRule="auto" w:after="60"/>
        <w:ind w:firstLine="202"/>
        <w:jc w:val="both"/>
      </w:pPr>
      <w:r>
        <w:rPr>
          <w:rFonts w:ascii="Times New Roman" w:hAnsi="Times New Roman"/>
          <w:b w:val="0"/>
          <w:i w:val="0"/>
          <w:color w:val="000000"/>
          <w:sz w:val="18"/>
        </w:rPr>
        <w:t>The source document has reference values. Clearly says that some values are not final. They are just placeholders or starting estimates. These numbers are not the results yet. The manuscript uses these numbers as reference estimates. This prevents the evidence from being overstated. The paper treats the numbers as estimates unless the real measurements are added later. This way the study design stays the same. It also keeps the paper honest and accurate.</w:t>
      </w:r>
    </w:p>
    <w:p>
      <w:pPr>
        <w:spacing w:line="240" w:lineRule="auto" w:before="120" w:after="60"/>
        <w:ind w:firstLine="0"/>
        <w:jc w:val="center"/>
      </w:pPr>
      <w:r>
        <w:rPr>
          <w:rFonts w:ascii="Times New Roman" w:hAnsi="Times New Roman"/>
          <w:b/>
          <w:i w:val="0"/>
          <w:color w:val="000000"/>
          <w:sz w:val="20"/>
        </w:rPr>
        <w:t>IV. Results</w:t>
      </w:r>
    </w:p>
    <w:p>
      <w:pPr>
        <w:spacing w:line="240" w:lineRule="auto" w:before="80" w:after="40"/>
        <w:ind w:firstLine="0"/>
        <w:jc w:val="left"/>
      </w:pPr>
      <w:r>
        <w:rPr>
          <w:rFonts w:ascii="Times New Roman" w:hAnsi="Times New Roman"/>
          <w:b w:val="0"/>
          <w:i w:val="0"/>
          <w:color w:val="000000"/>
          <w:sz w:val="18"/>
        </w:rPr>
        <w:t>A. Inter-city Round-trip Time</w:t>
      </w:r>
    </w:p>
    <w:p>
      <w:pPr>
        <w:sectPr>
          <w:type w:val="continuous"/>
          <w:pgSz w:w="12240" w:h="15840"/>
          <w:pgMar w:top="1008" w:right="979" w:bottom="1008" w:left="979" w:header="720" w:footer="720" w:gutter="0"/>
          <w:cols w:space="420" w:num="2"/>
          <w:docGrid w:linePitch="360"/>
        </w:sectPr>
      </w:pPr>
    </w:p>
    <w:tbl>
      <w:tblPr>
        <w:tblW w:type="auto" w:w="0"/>
        <w:jc w:val="center"/>
        <w:tblLayout w:type="autofit"/>
        <w:tblLook w:firstColumn="1" w:firstRow="1" w:lastColumn="0" w:lastRow="0" w:noHBand="0" w:noVBand="1" w:val="04A0"/>
      </w:tblPr>
      <w:tblGrid>
        <w:gridCol w:w="1469"/>
        <w:gridCol w:w="1469"/>
        <w:gridCol w:w="1469"/>
        <w:gridCol w:w="1469"/>
        <w:gridCol w:w="1469"/>
        <w:gridCol w:w="1469"/>
        <w:gridCol w:w="1469"/>
      </w:tblGrid>
      <w:tr>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left"/>
            </w:pPr>
            <w:r>
              <w:rPr>
                <w:rFonts w:ascii="Times New Roman" w:hAnsi="Times New Roman"/>
                <w:b/>
                <w:color w:val="000000"/>
                <w:sz w:val="12"/>
              </w:rPr>
              <w:t>From / To</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center"/>
            </w:pPr>
            <w:r>
              <w:rPr>
                <w:rFonts w:ascii="Times New Roman" w:hAnsi="Times New Roman"/>
                <w:b/>
                <w:color w:val="000000"/>
                <w:sz w:val="12"/>
              </w:rPr>
              <w:t>Mumbai</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center"/>
            </w:pPr>
            <w:r>
              <w:rPr>
                <w:rFonts w:ascii="Times New Roman" w:hAnsi="Times New Roman"/>
                <w:b/>
                <w:color w:val="000000"/>
                <w:sz w:val="12"/>
              </w:rPr>
              <w:t>Delhi</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center"/>
            </w:pPr>
            <w:r>
              <w:rPr>
                <w:rFonts w:ascii="Times New Roman" w:hAnsi="Times New Roman"/>
                <w:b/>
                <w:color w:val="000000"/>
                <w:sz w:val="12"/>
              </w:rPr>
              <w:t>Bangalore</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center"/>
            </w:pPr>
            <w:r>
              <w:rPr>
                <w:rFonts w:ascii="Times New Roman" w:hAnsi="Times New Roman"/>
                <w:b/>
                <w:color w:val="000000"/>
                <w:sz w:val="12"/>
              </w:rPr>
              <w:t>Chennai</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center"/>
            </w:pPr>
            <w:r>
              <w:rPr>
                <w:rFonts w:ascii="Times New Roman" w:hAnsi="Times New Roman"/>
                <w:b/>
                <w:color w:val="000000"/>
                <w:sz w:val="12"/>
              </w:rPr>
              <w:t>Hyderabad</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center"/>
            </w:pPr>
            <w:r>
              <w:rPr>
                <w:rFonts w:ascii="Times New Roman" w:hAnsi="Times New Roman"/>
                <w:b/>
                <w:color w:val="000000"/>
                <w:sz w:val="12"/>
              </w:rPr>
              <w:t>Kolkata</w:t>
            </w:r>
          </w:p>
        </w:tc>
      </w:tr>
      <w:tr>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2"/>
              </w:rPr>
              <w:t>Mumbai</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22 +/- 1.8</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18 +/- 1.4</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25 +/- 2.1</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16 +/- 1.3</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42 +/- 3.6</w:t>
            </w:r>
          </w:p>
        </w:tc>
      </w:tr>
      <w:tr>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2"/>
              </w:rPr>
              <w:t>Delhi</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24 +/- 1.9</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30 +/- 2.5</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38 +/- 3.1</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26 +/- 2.2</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28 +/- 2.4</w:t>
            </w:r>
          </w:p>
        </w:tc>
      </w:tr>
      <w:tr>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2"/>
              </w:rPr>
              <w:t>Bangalore</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19 +/- 1.5</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31 +/- 2.6</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14 +/- 1.1</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10 +/- 0.9</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45 +/- 3.8</w:t>
            </w:r>
          </w:p>
        </w:tc>
      </w:tr>
      <w:tr>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2"/>
              </w:rPr>
              <w:t>Chennai</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27 +/- 2.2</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39 +/- 3.2</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15 +/- 1.2</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16 +/- 1.3</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48 +/- 4.1</w:t>
            </w:r>
          </w:p>
        </w:tc>
      </w:tr>
      <w:tr>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2"/>
              </w:rPr>
              <w:t>Hyderabad</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17 +/- 1.4</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27 +/- 2.3</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11 +/- 0.9</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17 +/- 1.4</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40 +/- 3.4</w:t>
            </w:r>
          </w:p>
        </w:tc>
      </w:tr>
      <w:tr>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2"/>
              </w:rPr>
              <w:t>Kolkata</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44 +/- 3.8</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29 +/- 2.5</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47 +/- 4.0</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50 +/- 4.3</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42 +/- 3.6</w:t>
            </w:r>
          </w:p>
        </w:tc>
        <w:tc>
          <w:tcPr>
            <w:tcW w:type="dxa" w:w="1469"/>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w:t>
            </w:r>
          </w:p>
        </w:tc>
      </w:tr>
    </w:tbl>
    <w:p>
      <w:pPr>
        <w:sectPr>
          <w:type w:val="continuous"/>
          <w:pgSz w:w="12240" w:h="15840"/>
          <w:pgMar w:top="1008" w:right="979" w:bottom="1008" w:left="979" w:header="720" w:footer="720" w:gutter="0"/>
          <w:cols w:space="420" w:num="1"/>
          <w:docGrid w:linePitch="360"/>
        </w:sectPr>
      </w:pPr>
    </w:p>
    <w:p>
      <w:pPr>
        <w:spacing w:line="240" w:lineRule="auto" w:after="80"/>
        <w:ind w:firstLine="0"/>
        <w:jc w:val="center"/>
      </w:pPr>
      <w:r>
        <w:rPr>
          <w:rFonts w:ascii="Times New Roman" w:hAnsi="Times New Roman"/>
          <w:b w:val="0"/>
          <w:i/>
          <w:color w:val="000000"/>
          <w:sz w:val="16"/>
        </w:rPr>
        <w:t>Table III. Reference inter-city RTT matrix in milliseconds. Values are retained from the supplied draft and should be replaced with final logs before formal publication.</w:t>
      </w:r>
    </w:p>
    <w:p>
      <w:pPr>
        <w:spacing w:line="240" w:lineRule="auto" w:after="60"/>
        <w:ind w:firstLine="202"/>
        <w:jc w:val="both"/>
      </w:pPr>
      <w:r>
        <w:rPr>
          <w:rFonts w:ascii="Times New Roman" w:hAnsi="Times New Roman"/>
          <w:b w:val="0"/>
          <w:i w:val="0"/>
          <w:color w:val="000000"/>
          <w:sz w:val="18"/>
        </w:rPr>
        <w:t>The reference matrix shows three patterns. Bangalore-Hyderabad has the reported RTT, which is plausible because the path is short and well connected in the southern region. Mumbai-Bangalore also performs better than distance alone would suggest, probably because there is backbone capacity in the western and southern areas. Kolkata appears more isolated in terms of latency with RTTs to Mumbai, Bangalore, Chennai and Hyderabad. This pattern matches what other studies have found about path inflation, anycast site selection and differences, in peering [14]-[20] [30]-[37].</w:t>
      </w:r>
    </w:p>
    <w:p>
      <w:pPr>
        <w:spacing w:line="240" w:lineRule="auto" w:before="80" w:after="40"/>
        <w:ind w:firstLine="0"/>
        <w:jc w:val="left"/>
      </w:pPr>
      <w:r>
        <w:rPr>
          <w:rFonts w:ascii="Times New Roman" w:hAnsi="Times New Roman"/>
          <w:b w:val="0"/>
          <w:i w:val="0"/>
          <w:color w:val="000000"/>
          <w:sz w:val="18"/>
        </w:rPr>
        <w:t>B. Intra-city Latency Variation</w:t>
      </w:r>
    </w:p>
    <w:p>
      <w:pPr>
        <w:sectPr>
          <w:type w:val="continuous"/>
          <w:pgSz w:w="12240" w:h="15840"/>
          <w:pgMar w:top="1008" w:right="979" w:bottom="1008" w:left="979" w:header="720" w:footer="720" w:gutter="0"/>
          <w:cols w:space="420" w:num="2"/>
          <w:docGrid w:linePitch="360"/>
        </w:sectPr>
      </w:pPr>
    </w:p>
    <w:tbl>
      <w:tblPr>
        <w:tblW w:type="auto" w:w="0"/>
        <w:jc w:val="center"/>
        <w:tblLayout w:type="autofit"/>
        <w:tblLook w:firstColumn="1" w:firstRow="1" w:lastColumn="0" w:lastRow="0" w:noHBand="0" w:noVBand="1" w:val="04A0"/>
      </w:tblPr>
      <w:tblGrid>
        <w:gridCol w:w="1714"/>
        <w:gridCol w:w="1714"/>
        <w:gridCol w:w="1714"/>
        <w:gridCol w:w="1714"/>
        <w:gridCol w:w="1714"/>
        <w:gridCol w:w="1714"/>
      </w:tblGrid>
      <w:tr>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left"/>
            </w:pPr>
            <w:r>
              <w:rPr>
                <w:rFonts w:ascii="Times New Roman" w:hAnsi="Times New Roman"/>
                <w:b/>
                <w:color w:val="000000"/>
                <w:sz w:val="12"/>
              </w:rPr>
              <w:t>City</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center"/>
            </w:pPr>
            <w:r>
              <w:rPr>
                <w:rFonts w:ascii="Times New Roman" w:hAnsi="Times New Roman"/>
                <w:b/>
                <w:color w:val="000000"/>
                <w:sz w:val="12"/>
              </w:rPr>
              <w:t>P10</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center"/>
            </w:pPr>
            <w:r>
              <w:rPr>
                <w:rFonts w:ascii="Times New Roman" w:hAnsi="Times New Roman"/>
                <w:b/>
                <w:color w:val="000000"/>
                <w:sz w:val="12"/>
              </w:rPr>
              <w:t>Median</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center"/>
            </w:pPr>
            <w:r>
              <w:rPr>
                <w:rFonts w:ascii="Times New Roman" w:hAnsi="Times New Roman"/>
                <w:b/>
                <w:color w:val="000000"/>
                <w:sz w:val="12"/>
              </w:rPr>
              <w:t>P90</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center"/>
            </w:pPr>
            <w:r>
              <w:rPr>
                <w:rFonts w:ascii="Times New Roman" w:hAnsi="Times New Roman"/>
                <w:b/>
                <w:color w:val="000000"/>
                <w:sz w:val="12"/>
              </w:rPr>
              <w:t>P90/P10</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shd w:fill="EAEAEA"/>
          </w:tcPr>
          <w:p>
            <w:pPr>
              <w:spacing w:after="0" w:line="240" w:lineRule="auto"/>
              <w:ind w:firstLine="0"/>
              <w:jc w:val="center"/>
            </w:pPr>
            <w:r>
              <w:rPr>
                <w:rFonts w:ascii="Times New Roman" w:hAnsi="Times New Roman"/>
                <w:b/>
                <w:color w:val="000000"/>
                <w:sz w:val="12"/>
              </w:rPr>
              <w:t>SD</w:t>
            </w:r>
          </w:p>
        </w:tc>
      </w:tr>
      <w:tr>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2"/>
              </w:rPr>
              <w:t>Mumbai MMR</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3</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6</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14</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4.7x</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+/- 3.8</w:t>
            </w:r>
          </w:p>
        </w:tc>
      </w:tr>
      <w:tr>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2"/>
              </w:rPr>
              <w:t>Delhi NCR</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4</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8</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19</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4.8x</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+/- 4.9</w:t>
            </w:r>
          </w:p>
        </w:tc>
      </w:tr>
      <w:tr>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2"/>
              </w:rPr>
              <w:t>Bangalore</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3</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7</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16</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5.3x</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+/- 4.2</w:t>
            </w:r>
          </w:p>
        </w:tc>
      </w:tr>
      <w:tr>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2"/>
              </w:rPr>
              <w:t>Chennai</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6</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12</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28</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4.7x</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+/- 6.1</w:t>
            </w:r>
          </w:p>
        </w:tc>
      </w:tr>
      <w:tr>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2"/>
              </w:rPr>
              <w:t>Hyderabad</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5</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9</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22</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4.4x</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+/- 4.5</w:t>
            </w:r>
          </w:p>
        </w:tc>
      </w:tr>
      <w:tr>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left"/>
            </w:pPr>
            <w:r>
              <w:rPr>
                <w:rFonts w:ascii="Times New Roman" w:hAnsi="Times New Roman"/>
                <w:b w:val="0"/>
                <w:color w:val="000000"/>
                <w:sz w:val="12"/>
              </w:rPr>
              <w:t>Kolkata</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7</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15</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35</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5.0x</w:t>
            </w:r>
          </w:p>
        </w:tc>
        <w:tc>
          <w:tcPr>
            <w:tcW w:type="dxa" w:w="1714"/>
            <w:vAlign w:val="center"/>
            <w:tcBorders>
              <w:top w:val="single" w:sz="4" w:color="D9D9D9"/>
              <w:bottom w:val="single" w:sz="4" w:color="D9D9D9"/>
              <w:left w:val="single" w:sz="4" w:color="D9D9D9"/>
              <w:right w:val="single" w:sz="4" w:color="D9D9D9"/>
              <w:insideH w:val="single" w:sz="4" w:color="D9D9D9"/>
              <w:insideV w:val="single" w:sz="4" w:color="D9D9D9"/>
            </w:tcBorders>
            <w:tcMar>
              <w:top w:w="35" w:type="dxa"/>
              <w:bottom w:w="35" w:type="dxa"/>
              <w:left w:w="35" w:type="dxa"/>
              <w:right w:w="35" w:type="dxa"/>
            </w:tcMar>
          </w:tcPr>
          <w:p>
            <w:pPr>
              <w:spacing w:after="0" w:line="240" w:lineRule="auto"/>
              <w:ind w:firstLine="0"/>
              <w:jc w:val="center"/>
            </w:pPr>
            <w:r>
              <w:rPr>
                <w:rFonts w:ascii="Times New Roman" w:hAnsi="Times New Roman"/>
                <w:b w:val="0"/>
                <w:color w:val="000000"/>
                <w:sz w:val="12"/>
              </w:rPr>
              <w:t>+/- 7.2</w:t>
            </w:r>
          </w:p>
        </w:tc>
      </w:tr>
    </w:tbl>
    <w:p>
      <w:pPr>
        <w:sectPr>
          <w:type w:val="continuous"/>
          <w:pgSz w:w="12240" w:h="15840"/>
          <w:pgMar w:top="1008" w:right="979" w:bottom="1008" w:left="979" w:header="720" w:footer="720" w:gutter="0"/>
          <w:cols w:space="420" w:num="1"/>
          <w:docGrid w:linePitch="360"/>
        </w:sectPr>
      </w:pPr>
    </w:p>
    <w:p>
      <w:pPr>
        <w:spacing w:line="240" w:lineRule="auto" w:after="80"/>
        <w:ind w:firstLine="0"/>
        <w:jc w:val="center"/>
      </w:pPr>
      <w:r>
        <w:rPr>
          <w:rFonts w:ascii="Times New Roman" w:hAnsi="Times New Roman"/>
          <w:b w:val="0"/>
          <w:i/>
          <w:color w:val="000000"/>
          <w:sz w:val="16"/>
        </w:rPr>
        <w:t>Table IV. Reference intra-city RTT distribution to Cloudflare 1.1.1.1 in milliseconds.</w:t>
      </w:r>
    </w:p>
    <w:p>
      <w:pPr>
        <w:spacing w:line="240" w:lineRule="auto" w:after="60"/>
        <w:ind w:firstLine="202"/>
        <w:jc w:val="both"/>
      </w:pPr>
      <w:r>
        <w:rPr>
          <w:rFonts w:ascii="Times New Roman" w:hAnsi="Times New Roman"/>
          <w:b w:val="0"/>
          <w:i w:val="0"/>
          <w:color w:val="000000"/>
          <w:sz w:val="18"/>
        </w:rPr>
        <w:t>The intra-city distribution is as important as the inter-city matrix. P90/P10 ratios ranging from 4.4x to 5.3x show that two users in the metropolitan area can experience very different latency levels. This difference comes from access technology, ISP routing, local congestion and CDN ingress. These findings support research showing that subnet-level and access-network conditions can have a larger impact on user experience than efficient backbone paths [32] [35]-[37].</w:t>
      </w:r>
    </w:p>
    <w:p>
      <w:pPr>
        <w:spacing w:line="240" w:lineRule="auto" w:before="80" w:after="40"/>
        <w:ind w:firstLine="0"/>
        <w:jc w:val="left"/>
      </w:pPr>
      <w:r>
        <w:rPr>
          <w:rFonts w:ascii="Times New Roman" w:hAnsi="Times New Roman"/>
          <w:b w:val="0"/>
          <w:i w:val="0"/>
          <w:color w:val="000000"/>
          <w:sz w:val="18"/>
        </w:rPr>
        <w:t>C. DNS. Provider Effects</w:t>
      </w:r>
    </w:p>
    <w:p>
      <w:pPr>
        <w:spacing w:line="240" w:lineRule="auto" w:after="60"/>
        <w:ind w:firstLine="202"/>
        <w:jc w:val="both"/>
      </w:pPr>
      <w:r>
        <w:rPr>
          <w:rFonts w:ascii="Times New Roman" w:hAnsi="Times New Roman"/>
          <w:b w:val="0"/>
          <w:i w:val="0"/>
          <w:color w:val="000000"/>
          <w:sz w:val="18"/>
        </w:rPr>
        <w:t>The DNS analysis shows a consistent protocol hierarchy. Do53 is the fastest, initial DoH is the slowest, and warm DoH improves with session reuse. DoQ reduces the encrypted-DNS penalty when QUIC resumption is available. This ordering matches studies on encrypted DNS [1]-[8]. The main practical takeaway is that resolver placement and protocol choice must be considered together. A placed DoH resolver can perform better than a poorly placed unencrypted resolver. On the hand a poorly mapped DoH endpoint can add noticeable delay to every page that loads from multiple origins.</w:t>
      </w:r>
    </w:p>
    <w:p>
      <w:pPr>
        <w:spacing w:line="240" w:lineRule="auto" w:after="60"/>
        <w:ind w:firstLine="202"/>
        <w:jc w:val="both"/>
      </w:pPr>
      <w:r>
        <w:rPr>
          <w:rFonts w:ascii="Times New Roman" w:hAnsi="Times New Roman"/>
          <w:b w:val="0"/>
          <w:i w:val="0"/>
          <w:color w:val="000000"/>
          <w:sz w:val="18"/>
        </w:rPr>
        <w:t>Provider-level differences need interpretation until final logs are available. The expected ranking follows known deployment patterns. Dense anycast deployments and ISP-embedded caches usually lead to median latency and less variance. Sparse deployment or incorrect client mapping increases both latency and variability. This has been seen in DNS and CDN systems across global measurement studies [10]-[25].</w:t>
      </w:r>
    </w:p>
    <w:p>
      <w:pPr>
        <w:spacing w:line="240" w:lineRule="auto" w:before="120" w:after="60"/>
        <w:ind w:firstLine="0"/>
        <w:jc w:val="center"/>
      </w:pPr>
      <w:r>
        <w:rPr>
          <w:rFonts w:ascii="Times New Roman" w:hAnsi="Times New Roman"/>
          <w:b/>
          <w:i w:val="0"/>
          <w:color w:val="000000"/>
          <w:sz w:val="20"/>
        </w:rPr>
        <w:t>V. Discussion</w:t>
      </w:r>
    </w:p>
    <w:p>
      <w:pPr>
        <w:spacing w:line="240" w:lineRule="auto" w:after="60"/>
        <w:ind w:firstLine="202"/>
        <w:jc w:val="both"/>
      </w:pPr>
      <w:r>
        <w:rPr>
          <w:rFonts w:ascii="Times New Roman" w:hAnsi="Times New Roman"/>
          <w:b w:val="0"/>
          <w:i w:val="0"/>
          <w:color w:val="000000"/>
          <w:sz w:val="18"/>
        </w:rPr>
        <w:t>The results support a view of Internet performance in India. Western and southern metros benefit from exchange points content hosting and resolver infrastructure. Eastern and some eastern routes may follow longer or less direct paths. The policy insight is that national averages can hide the performance gaps that matter most to users, application designers, and regulators.</w:t>
      </w:r>
    </w:p>
    <w:p>
      <w:pPr>
        <w:spacing w:line="240" w:lineRule="auto" w:after="60"/>
        <w:ind w:firstLine="202"/>
        <w:jc w:val="both"/>
      </w:pPr>
      <w:r>
        <w:rPr>
          <w:rFonts w:ascii="Times New Roman" w:hAnsi="Times New Roman"/>
          <w:b w:val="0"/>
          <w:i w:val="0"/>
          <w:color w:val="000000"/>
          <w:sz w:val="18"/>
        </w:rPr>
        <w:t>For resolver operators the paper recommends expanding resolver and encrypted-DNS capacity in cities where latency penalties are highest. For ISPs and IXPs the results suggest direct domestic peering and better transparency in route quality monitoring. For CDNs and application providers the findings show that DNS and edge placement strategies should use city-level data instead of treating all Indian users as a single group.</w:t>
      </w:r>
    </w:p>
    <w:p>
      <w:pPr>
        <w:spacing w:line="240" w:lineRule="auto" w:after="60"/>
        <w:ind w:firstLine="202"/>
        <w:jc w:val="both"/>
      </w:pPr>
      <w:r>
        <w:rPr>
          <w:rFonts w:ascii="Times New Roman" w:hAnsi="Times New Roman"/>
          <w:b w:val="0"/>
          <w:i w:val="0"/>
          <w:color w:val="000000"/>
          <w:sz w:val="18"/>
        </w:rPr>
        <w:t>The privacy-performance tradeoff for encrypted DNS should not be seen as a simple either-or choice. DoH can add latency because new connections involve handshake overhead.. Doq and HTTP/3 connection coalescing help reduce that cost. The best approach for India is not more encryption but better local encrypted resolver placement and strong transport support.</w:t>
      </w:r>
    </w:p>
    <w:p>
      <w:pPr>
        <w:spacing w:line="240" w:lineRule="auto" w:before="120" w:after="60"/>
        <w:ind w:firstLine="0"/>
        <w:jc w:val="center"/>
      </w:pPr>
      <w:r>
        <w:rPr>
          <w:rFonts w:ascii="Times New Roman" w:hAnsi="Times New Roman"/>
          <w:b/>
          <w:i w:val="0"/>
          <w:color w:val="000000"/>
          <w:sz w:val="20"/>
        </w:rPr>
        <w:t>VI. Limitations</w:t>
      </w:r>
    </w:p>
    <w:p>
      <w:pPr>
        <w:spacing w:line="240" w:lineRule="auto" w:after="60"/>
        <w:ind w:firstLine="202"/>
        <w:jc w:val="both"/>
      </w:pPr>
      <w:r>
        <w:rPr>
          <w:rFonts w:ascii="Times New Roman" w:hAnsi="Times New Roman"/>
          <w:b w:val="0"/>
          <w:i w:val="0"/>
          <w:color w:val="000000"/>
          <w:sz w:val="18"/>
        </w:rPr>
        <w:t>The main limitation is evidentiary status. The supplied source includes a measurement plan and reference values.. It also says that some result tables contain temporary estimates that must be replaced with actual AIORI measurements. A submission-ready version should include DNS, ping, and traceroute logs along with timestamps, resolver target configuration, platform metadata and the scripts used to compute medians and standard deviations.</w:t>
      </w:r>
    </w:p>
    <w:p>
      <w:pPr>
        <w:spacing w:line="240" w:lineRule="auto" w:after="60"/>
        <w:ind w:firstLine="202"/>
        <w:jc w:val="both"/>
      </w:pPr>
      <w:r>
        <w:rPr>
          <w:rFonts w:ascii="Times New Roman" w:hAnsi="Times New Roman"/>
          <w:b w:val="0"/>
          <w:i w:val="0"/>
          <w:color w:val="000000"/>
          <w:sz w:val="18"/>
        </w:rPr>
        <w:t>The city sample focuses on metros but does not include tier-2, tier-3, or rural areas, where performance gaps may be even greater. The study design also uses a limited number of rounds. Longer observation windows would capture effects from daily cycles, weekdays, festivals, outages, and routing changes. Finally ping, DNS query time and page-load time are. Not the same measures of user experience.</w:t>
      </w:r>
    </w:p>
    <w:p>
      <w:pPr>
        <w:spacing w:line="240" w:lineRule="auto" w:before="120" w:after="60"/>
        <w:ind w:firstLine="0"/>
        <w:jc w:val="center"/>
      </w:pPr>
      <w:r>
        <w:rPr>
          <w:rFonts w:ascii="Times New Roman" w:hAnsi="Times New Roman"/>
          <w:b/>
          <w:i w:val="0"/>
          <w:color w:val="000000"/>
          <w:sz w:val="20"/>
        </w:rPr>
        <w:t>VII. Conclusion</w:t>
      </w:r>
    </w:p>
    <w:p>
      <w:pPr>
        <w:spacing w:line="240" w:lineRule="auto" w:after="60"/>
        <w:ind w:firstLine="202"/>
        <w:jc w:val="both"/>
      </w:pPr>
      <w:r>
        <w:rPr>
          <w:rFonts w:ascii="Times New Roman" w:hAnsi="Times New Roman"/>
          <w:b w:val="0"/>
          <w:i w:val="0"/>
          <w:color w:val="000000"/>
          <w:sz w:val="18"/>
        </w:rPr>
        <w:t>This paper presents an IEEE-style manuscript about geographic variability in DNS resolution and Internet latency across India. The study design shows why city-level measurement matters. Resolver performance, encrypted-DNS overhead -city routing and intra-city access conditions vary significantly across the cities studied. Reference results point to performance around Mumbai and Bangalore and higher latency around Kolkata and Chennai. The useful next step is to replace all reference estimates with final AIORI exports and rerun the analysis with a longer measurement window.</w:t>
      </w:r>
    </w:p>
    <w:p>
      <w:pPr>
        <w:spacing w:line="240" w:lineRule="auto" w:after="60"/>
        <w:ind w:firstLine="202"/>
        <w:jc w:val="both"/>
      </w:pPr>
      <w:r>
        <w:rPr>
          <w:rFonts w:ascii="Times New Roman" w:hAnsi="Times New Roman"/>
          <w:b w:val="0"/>
          <w:i w:val="0"/>
          <w:color w:val="000000"/>
          <w:sz w:val="18"/>
        </w:rPr>
        <w:t>The broader conclusion is that Internet quality policy and deployment planning should treat latency as uneven. Resolver operators, ISPs, CDNs and regulators should use metrics when evaluating encrypted DNS and broadband quality. This ensures infrastructure investment targets the areas where users face the performance penalties.</w:t>
      </w:r>
    </w:p>
    <w:p>
      <w:pPr>
        <w:spacing w:line="240" w:lineRule="auto" w:before="120" w:after="60"/>
        <w:ind w:firstLine="0"/>
        <w:jc w:val="center"/>
      </w:pPr>
      <w:r>
        <w:rPr>
          <w:rFonts w:ascii="Times New Roman" w:hAnsi="Times New Roman"/>
          <w:b/>
          <w:i w:val="0"/>
          <w:color w:val="000000"/>
          <w:sz w:val="20"/>
        </w:rPr>
        <w:t>Acknowledgment</w:t>
      </w:r>
    </w:p>
    <w:p>
      <w:pPr>
        <w:spacing w:line="240" w:lineRule="auto" w:after="60"/>
        <w:ind w:firstLine="202"/>
        <w:jc w:val="both"/>
      </w:pPr>
      <w:r>
        <w:rPr>
          <w:rFonts w:ascii="Times New Roman" w:hAnsi="Times New Roman"/>
          <w:b w:val="0"/>
          <w:i w:val="0"/>
          <w:color w:val="000000"/>
          <w:sz w:val="18"/>
        </w:rPr>
        <w:t>AI tools were used to restructure and rewrite the supplied draft into an IEEE-style manuscript. The authors remain responsible, for validating measurements approving claims checking institutional similarity reports and ensuring all submitted content reflects verified data.</w:t>
      </w:r>
    </w:p>
    <w:p>
      <w:pPr>
        <w:spacing w:line="240" w:lineRule="auto" w:before="120" w:after="60"/>
        <w:ind w:firstLine="0"/>
        <w:jc w:val="center"/>
      </w:pPr>
      <w:r>
        <w:rPr>
          <w:rFonts w:ascii="Times New Roman" w:hAnsi="Times New Roman"/>
          <w:b/>
          <w:i w:val="0"/>
          <w:color w:val="000000"/>
          <w:sz w:val="20"/>
        </w:rPr>
        <w:t>References</w:t>
      </w:r>
    </w:p>
    <w:p>
      <w:pPr>
        <w:spacing w:line="240" w:lineRule="auto" w:after="20"/>
        <w:ind w:left="259" w:hanging="259"/>
        <w:jc w:val="left"/>
      </w:pPr>
      <w:r>
        <w:rPr>
          <w:rFonts w:ascii="Times New Roman" w:hAnsi="Times New Roman"/>
          <w:b w:val="0"/>
          <w:i w:val="0"/>
          <w:color w:val="000000"/>
          <w:sz w:val="14"/>
        </w:rPr>
        <w:t>[1] T. Chhabra, A. Kashaf, I. Castro, D. R. Choffnes, and C. D. Scott, "A Haystack Full of Needles: Scalable Detection of DNS over HTTPS Resolvers," Proc. ACM Internet Measurement Conference, 2021.</w:t>
      </w:r>
    </w:p>
    <w:p>
      <w:pPr>
        <w:spacing w:line="240" w:lineRule="auto" w:after="20"/>
        <w:ind w:left="259" w:hanging="259"/>
        <w:jc w:val="left"/>
      </w:pPr>
      <w:r>
        <w:rPr>
          <w:rFonts w:ascii="Times New Roman" w:hAnsi="Times New Roman"/>
          <w:b w:val="0"/>
          <w:i w:val="0"/>
          <w:color w:val="000000"/>
          <w:sz w:val="14"/>
        </w:rPr>
        <w:t>[2] S. Sengupta, S. Sundaresan, N. Feamster, and M. Allman, "A First Look at DNS over QUIC and Its Performance Implications," Proc. Passive and Active Measurement Conference, 2024.</w:t>
      </w:r>
    </w:p>
    <w:p>
      <w:pPr>
        <w:spacing w:line="240" w:lineRule="auto" w:after="20"/>
        <w:ind w:left="259" w:hanging="259"/>
        <w:jc w:val="left"/>
      </w:pPr>
      <w:r>
        <w:rPr>
          <w:rFonts w:ascii="Times New Roman" w:hAnsi="Times New Roman"/>
          <w:b w:val="0"/>
          <w:i w:val="0"/>
          <w:color w:val="000000"/>
          <w:sz w:val="14"/>
        </w:rPr>
        <w:t>[3] P. Hoffman and P. McManus, "DNS Queries over HTTPS," RFC 8484, 2018.</w:t>
      </w:r>
    </w:p>
    <w:p>
      <w:pPr>
        <w:spacing w:line="240" w:lineRule="auto" w:after="20"/>
        <w:ind w:left="259" w:hanging="259"/>
        <w:jc w:val="left"/>
      </w:pPr>
      <w:r>
        <w:rPr>
          <w:rFonts w:ascii="Times New Roman" w:hAnsi="Times New Roman"/>
          <w:b w:val="0"/>
          <w:i w:val="0"/>
          <w:color w:val="000000"/>
          <w:sz w:val="14"/>
        </w:rPr>
        <w:t>[4] Z. Hu, L. Zhu, J. Heidemann, A. Mankin, D. Wessels, and P. Hoffman, "Specification for DNS over Transport Layer Security," RFC 7858, 2016.</w:t>
      </w:r>
    </w:p>
    <w:p>
      <w:pPr>
        <w:spacing w:line="240" w:lineRule="auto" w:after="20"/>
        <w:ind w:left="259" w:hanging="259"/>
        <w:jc w:val="left"/>
      </w:pPr>
      <w:r>
        <w:rPr>
          <w:rFonts w:ascii="Times New Roman" w:hAnsi="Times New Roman"/>
          <w:b w:val="0"/>
          <w:i w:val="0"/>
          <w:color w:val="000000"/>
          <w:sz w:val="14"/>
        </w:rPr>
        <w:t>[5] C. Huitema, S. Dickinson, and A. Mankin, "DNS over Dedicated QUIC Connections," RFC 9250, 2022.</w:t>
      </w:r>
    </w:p>
    <w:p>
      <w:pPr>
        <w:spacing w:line="240" w:lineRule="auto" w:after="20"/>
        <w:ind w:left="259" w:hanging="259"/>
        <w:jc w:val="left"/>
      </w:pPr>
      <w:r>
        <w:rPr>
          <w:rFonts w:ascii="Times New Roman" w:hAnsi="Times New Roman"/>
          <w:b w:val="0"/>
          <w:i w:val="0"/>
          <w:color w:val="000000"/>
          <w:sz w:val="14"/>
        </w:rPr>
        <w:t>[6] A. Hounsel, K. Borgolte, P. Schmitt, J. Holland, and N. Feamster, "Comparing the Effects of DNS, DoT, and DoH on Web Performance," Proc. Web Conference, 2020.</w:t>
      </w:r>
    </w:p>
    <w:p>
      <w:pPr>
        <w:spacing w:line="240" w:lineRule="auto" w:after="20"/>
        <w:ind w:left="259" w:hanging="259"/>
        <w:jc w:val="left"/>
      </w:pPr>
      <w:r>
        <w:rPr>
          <w:rFonts w:ascii="Times New Roman" w:hAnsi="Times New Roman"/>
          <w:b w:val="0"/>
          <w:i w:val="0"/>
          <w:color w:val="000000"/>
          <w:sz w:val="14"/>
        </w:rPr>
        <w:t>[7] D. Böttger, F. Cuadrado, G. Tyson, I. Castro, and S. Uhlig, "Open Connect Everywhere: A Glimpse at the Internet Ecosystem through the Lens of the Netflix CDN," ACM SIGCOMM Computer Communication Review, 2018.</w:t>
      </w:r>
    </w:p>
    <w:p>
      <w:pPr>
        <w:spacing w:line="240" w:lineRule="auto" w:after="20"/>
        <w:ind w:left="259" w:hanging="259"/>
        <w:jc w:val="left"/>
      </w:pPr>
      <w:r>
        <w:rPr>
          <w:rFonts w:ascii="Times New Roman" w:hAnsi="Times New Roman"/>
          <w:b w:val="0"/>
          <w:i w:val="0"/>
          <w:color w:val="000000"/>
          <w:sz w:val="14"/>
        </w:rPr>
        <w:t>[8] T. Pauly, E. Kinnear, D. Schinazi, and T. Chown, "An Unreliable Datagram Extension to QUIC," RFC 9221, 2022.</w:t>
      </w:r>
    </w:p>
    <w:p>
      <w:pPr>
        <w:spacing w:line="240" w:lineRule="auto" w:after="20"/>
        <w:ind w:left="259" w:hanging="259"/>
        <w:jc w:val="left"/>
      </w:pPr>
      <w:r>
        <w:rPr>
          <w:rFonts w:ascii="Times New Roman" w:hAnsi="Times New Roman"/>
          <w:b w:val="0"/>
          <w:i w:val="0"/>
          <w:color w:val="000000"/>
          <w:sz w:val="14"/>
        </w:rPr>
        <w:t>[9] J. Jung, E. Sit, H. Balakrishnan, and R. Morris, "DNS Performance and the Effectiveness of Caching," IEEE/ACM Transactions on Networking, 2002.</w:t>
      </w:r>
    </w:p>
    <w:p>
      <w:pPr>
        <w:spacing w:line="240" w:lineRule="auto" w:after="20"/>
        <w:ind w:left="259" w:hanging="259"/>
        <w:jc w:val="left"/>
      </w:pPr>
      <w:r>
        <w:rPr>
          <w:rFonts w:ascii="Times New Roman" w:hAnsi="Times New Roman"/>
          <w:b w:val="0"/>
          <w:i w:val="0"/>
          <w:color w:val="000000"/>
          <w:sz w:val="14"/>
        </w:rPr>
        <w:t>[10] B. Ager, W. Mühlbauer, G. Smaragdakis, and S. Uhlig, "Comparing DNS Resolvers in the Wild," Proc. ACM Internet Measurement Conference, 2010.</w:t>
      </w:r>
    </w:p>
    <w:p>
      <w:pPr>
        <w:spacing w:line="240" w:lineRule="auto" w:after="20"/>
        <w:ind w:left="259" w:hanging="259"/>
        <w:jc w:val="left"/>
      </w:pPr>
      <w:r>
        <w:rPr>
          <w:rFonts w:ascii="Times New Roman" w:hAnsi="Times New Roman"/>
          <w:b w:val="0"/>
          <w:i w:val="0"/>
          <w:color w:val="000000"/>
          <w:sz w:val="14"/>
        </w:rPr>
        <w:t>[11] M. Kührer, T. Hupperich, J. Bushart, C. Rossow, and T. Holz, "Going Wild: Large-Scale Classification of Open DNS Resolvers," Proc. ACM Internet Measurement Conference, 2015.</w:t>
      </w:r>
    </w:p>
    <w:p>
      <w:pPr>
        <w:spacing w:line="240" w:lineRule="auto" w:after="20"/>
        <w:ind w:left="259" w:hanging="259"/>
        <w:jc w:val="left"/>
      </w:pPr>
      <w:r>
        <w:rPr>
          <w:rFonts w:ascii="Times New Roman" w:hAnsi="Times New Roman"/>
          <w:b w:val="0"/>
          <w:i w:val="0"/>
          <w:color w:val="000000"/>
          <w:sz w:val="14"/>
        </w:rPr>
        <w:t>[12] Z. Shulman, "Pretty Bad Privacy: Pitfalls of DNS Encryption," Proc. ACM Workshop on Privacy in the Electronic Society, 2014.</w:t>
      </w:r>
    </w:p>
    <w:p>
      <w:pPr>
        <w:spacing w:line="240" w:lineRule="auto" w:after="20"/>
        <w:ind w:left="259" w:hanging="259"/>
        <w:jc w:val="left"/>
      </w:pPr>
      <w:r>
        <w:rPr>
          <w:rFonts w:ascii="Times New Roman" w:hAnsi="Times New Roman"/>
          <w:b w:val="0"/>
          <w:i w:val="0"/>
          <w:color w:val="000000"/>
          <w:sz w:val="14"/>
        </w:rPr>
        <w:t>[13] R. Bush, "DNS: Notes on Resolver Behavior and Performance," ACM SIGCOMM Computer Communication Review, 2002.</w:t>
      </w:r>
    </w:p>
    <w:p>
      <w:pPr>
        <w:spacing w:line="240" w:lineRule="auto" w:after="20"/>
        <w:ind w:left="259" w:hanging="259"/>
        <w:jc w:val="left"/>
      </w:pPr>
      <w:r>
        <w:rPr>
          <w:rFonts w:ascii="Times New Roman" w:hAnsi="Times New Roman"/>
          <w:b w:val="0"/>
          <w:i w:val="0"/>
          <w:color w:val="000000"/>
          <w:sz w:val="14"/>
        </w:rPr>
        <w:t>[14] H. Ballani and P. Francis, "Towards a Global IP Anycast Service," Proc. ACM SIGCOMM, 2005.</w:t>
      </w:r>
    </w:p>
    <w:p>
      <w:pPr>
        <w:spacing w:line="240" w:lineRule="auto" w:after="20"/>
        <w:ind w:left="259" w:hanging="259"/>
        <w:jc w:val="left"/>
      </w:pPr>
      <w:r>
        <w:rPr>
          <w:rFonts w:ascii="Times New Roman" w:hAnsi="Times New Roman"/>
          <w:b w:val="0"/>
          <w:i w:val="0"/>
          <w:color w:val="000000"/>
          <w:sz w:val="14"/>
        </w:rPr>
        <w:t>[15] R. S. Peterson, L. L. Peterson, and J. Lepreau, "A Flexible Anycast Service for the Internet," Proc. IEEE INFOCOM, 1999.</w:t>
      </w:r>
    </w:p>
    <w:p>
      <w:pPr>
        <w:spacing w:line="240" w:lineRule="auto" w:after="20"/>
        <w:ind w:left="259" w:hanging="259"/>
        <w:jc w:val="left"/>
      </w:pPr>
      <w:r>
        <w:rPr>
          <w:rFonts w:ascii="Times New Roman" w:hAnsi="Times New Roman"/>
          <w:b w:val="0"/>
          <w:i w:val="0"/>
          <w:color w:val="000000"/>
          <w:sz w:val="14"/>
        </w:rPr>
        <w:t>[16] M. Calder, X. Fan, Z. Hu, E. Katz-Bassett, J. Heidemann, and R. Govindan, "Mapping the Expansion of Google's Serving Infrastructure," Proc. ACM Internet Measurement Conference, 2013.</w:t>
      </w:r>
    </w:p>
    <w:p>
      <w:pPr>
        <w:spacing w:line="240" w:lineRule="auto" w:after="20"/>
        <w:ind w:left="259" w:hanging="259"/>
        <w:jc w:val="left"/>
      </w:pPr>
      <w:r>
        <w:rPr>
          <w:rFonts w:ascii="Times New Roman" w:hAnsi="Times New Roman"/>
          <w:b w:val="0"/>
          <w:i w:val="0"/>
          <w:color w:val="000000"/>
          <w:sz w:val="14"/>
        </w:rPr>
        <w:t>[17] R. Fanou, P. Francois, and E. Aben, "On the Diversity of Interdomain Routing in Africa," Proc. Passive and Active Measurement Conference, 2015.</w:t>
      </w:r>
    </w:p>
    <w:p>
      <w:pPr>
        <w:spacing w:line="240" w:lineRule="auto" w:after="20"/>
        <w:ind w:left="259" w:hanging="259"/>
        <w:jc w:val="left"/>
      </w:pPr>
      <w:r>
        <w:rPr>
          <w:rFonts w:ascii="Times New Roman" w:hAnsi="Times New Roman"/>
          <w:b w:val="0"/>
          <w:i w:val="0"/>
          <w:color w:val="000000"/>
          <w:sz w:val="14"/>
        </w:rPr>
        <w:t>[18] R. Beverly, "Yarrp'ing the Internet: Randomized High-Speed Active Topology Discovery," Proc. ACM Internet Measurement Conference, 2016.</w:t>
      </w:r>
    </w:p>
    <w:p>
      <w:pPr>
        <w:spacing w:line="240" w:lineRule="auto" w:after="20"/>
        <w:ind w:left="259" w:hanging="259"/>
        <w:jc w:val="left"/>
      </w:pPr>
      <w:r>
        <w:rPr>
          <w:rFonts w:ascii="Times New Roman" w:hAnsi="Times New Roman"/>
          <w:b w:val="0"/>
          <w:i w:val="0"/>
          <w:color w:val="000000"/>
          <w:sz w:val="14"/>
        </w:rPr>
        <w:t>[19] C. Huang, A. Wang, J. Li, and K. W. Ross, "Measuring and Evaluating Large-Scale CDNs," Proc. ACM Internet Measurement Conference, 2008.</w:t>
      </w:r>
    </w:p>
    <w:p>
      <w:pPr>
        <w:spacing w:line="240" w:lineRule="auto" w:after="20"/>
        <w:ind w:left="259" w:hanging="259"/>
        <w:jc w:val="left"/>
      </w:pPr>
      <w:r>
        <w:rPr>
          <w:rFonts w:ascii="Times New Roman" w:hAnsi="Times New Roman"/>
          <w:b w:val="0"/>
          <w:i w:val="0"/>
          <w:color w:val="000000"/>
          <w:sz w:val="14"/>
        </w:rPr>
        <w:t>[20] F. Chen, R. K. Sitaraman, and M. Torres, "End-User Mapping: Next Generation Request Routing for Content Delivery," Proc. ACM SIGCOMM, 2015.</w:t>
      </w:r>
    </w:p>
    <w:p>
      <w:pPr>
        <w:spacing w:line="240" w:lineRule="auto" w:after="20"/>
        <w:ind w:left="259" w:hanging="259"/>
        <w:jc w:val="left"/>
      </w:pPr>
      <w:r>
        <w:rPr>
          <w:rFonts w:ascii="Times New Roman" w:hAnsi="Times New Roman"/>
          <w:b w:val="0"/>
          <w:i w:val="0"/>
          <w:color w:val="000000"/>
          <w:sz w:val="14"/>
        </w:rPr>
        <w:t>[21] A. Krishnamurthy, C. Wills, and Y. Zhang, "On the Use and Performance of Content Distribution Networks," Proc. ACM Internet Measurement Workshop, 2001.</w:t>
      </w:r>
    </w:p>
    <w:p>
      <w:pPr>
        <w:spacing w:line="240" w:lineRule="auto" w:after="20"/>
        <w:ind w:left="259" w:hanging="259"/>
        <w:jc w:val="left"/>
      </w:pPr>
      <w:r>
        <w:rPr>
          <w:rFonts w:ascii="Times New Roman" w:hAnsi="Times New Roman"/>
          <w:b w:val="0"/>
          <w:i w:val="0"/>
          <w:color w:val="000000"/>
          <w:sz w:val="14"/>
        </w:rPr>
        <w:t>[22] B. Krishnamurthy, C. Wills, and Y. Zhang, "On the Use and Performance of Content Distribution Networks," ACM SIGCOMM Computer Communication Review, 2001.</w:t>
      </w:r>
    </w:p>
    <w:p>
      <w:pPr>
        <w:spacing w:line="240" w:lineRule="auto" w:after="20"/>
        <w:ind w:left="259" w:hanging="259"/>
        <w:jc w:val="left"/>
      </w:pPr>
      <w:r>
        <w:rPr>
          <w:rFonts w:ascii="Times New Roman" w:hAnsi="Times New Roman"/>
          <w:b w:val="0"/>
          <w:i w:val="0"/>
          <w:color w:val="000000"/>
          <w:sz w:val="14"/>
        </w:rPr>
        <w:t>[23] J. Pang, A. Akella, A. Shaikh, B. Krishnamurthy, and S. Seshan, "On the Responsiveness of DNS-Based Network Control," Proc. ACM Internet Measurement Conference, 2004.</w:t>
      </w:r>
    </w:p>
    <w:p>
      <w:pPr>
        <w:spacing w:line="240" w:lineRule="auto" w:after="20"/>
        <w:ind w:left="259" w:hanging="259"/>
        <w:jc w:val="left"/>
      </w:pPr>
      <w:r>
        <w:rPr>
          <w:rFonts w:ascii="Times New Roman" w:hAnsi="Times New Roman"/>
          <w:b w:val="0"/>
          <w:i w:val="0"/>
          <w:color w:val="000000"/>
          <w:sz w:val="14"/>
        </w:rPr>
        <w:t>[24] A. Shaikh, R. Tewari, and M. Agrawal, "On the Effectiveness of DNS-Based Server Selection," Proc. IEEE INFOCOM, 2001.</w:t>
      </w:r>
    </w:p>
    <w:p>
      <w:pPr>
        <w:spacing w:line="240" w:lineRule="auto" w:after="20"/>
        <w:ind w:left="259" w:hanging="259"/>
        <w:jc w:val="left"/>
      </w:pPr>
      <w:r>
        <w:rPr>
          <w:rFonts w:ascii="Times New Roman" w:hAnsi="Times New Roman"/>
          <w:b w:val="0"/>
          <w:i w:val="0"/>
          <w:color w:val="000000"/>
          <w:sz w:val="14"/>
        </w:rPr>
        <w:t>[25] M. Zink, K. Suh, Y. Gu, and J. Kurose, "Characteristics of YouTube Network Traffic at a Campus Network," Computer Networks, 2009.</w:t>
      </w:r>
    </w:p>
    <w:p>
      <w:pPr>
        <w:spacing w:line="240" w:lineRule="auto" w:after="20"/>
        <w:ind w:left="259" w:hanging="259"/>
        <w:jc w:val="left"/>
      </w:pPr>
      <w:r>
        <w:rPr>
          <w:rFonts w:ascii="Times New Roman" w:hAnsi="Times New Roman"/>
          <w:b w:val="0"/>
          <w:i w:val="0"/>
          <w:color w:val="000000"/>
          <w:sz w:val="14"/>
        </w:rPr>
        <w:t>[26] V. Bajpai, S. J. Eravuchira, and J. Schönwälder, "Lessons Learned from Using the RIPE Atlas Platform for Measurement Research," ACM SIGCOMM Computer Communication Review, 2015.</w:t>
      </w:r>
    </w:p>
    <w:p>
      <w:pPr>
        <w:spacing w:line="240" w:lineRule="auto" w:after="20"/>
        <w:ind w:left="259" w:hanging="259"/>
        <w:jc w:val="left"/>
      </w:pPr>
      <w:r>
        <w:rPr>
          <w:rFonts w:ascii="Times New Roman" w:hAnsi="Times New Roman"/>
          <w:b w:val="0"/>
          <w:i w:val="0"/>
          <w:color w:val="000000"/>
          <w:sz w:val="14"/>
        </w:rPr>
        <w:t>[27] R. K. P. Mok, E. W. W. Chan, and R. K. C. Chang, "Measuring the Quality of Experience of HTTP Video Streaming," Proc. IFIP/IEEE International Symposium on Integrated Network Management, 2011.</w:t>
      </w:r>
    </w:p>
    <w:p>
      <w:pPr>
        <w:spacing w:line="240" w:lineRule="auto" w:after="20"/>
        <w:ind w:left="259" w:hanging="259"/>
        <w:jc w:val="left"/>
      </w:pPr>
      <w:r>
        <w:rPr>
          <w:rFonts w:ascii="Times New Roman" w:hAnsi="Times New Roman"/>
          <w:b w:val="0"/>
          <w:i w:val="0"/>
          <w:color w:val="000000"/>
          <w:sz w:val="14"/>
        </w:rPr>
        <w:t>[28] M. Luckie, "Scamper: A Scalable and Extensible Packet Prober for Active Measurement of the Internet," Proc. ACM Internet Measurement Conference, 2010.</w:t>
      </w:r>
    </w:p>
    <w:p>
      <w:pPr>
        <w:spacing w:line="240" w:lineRule="auto" w:after="20"/>
        <w:ind w:left="259" w:hanging="259"/>
        <w:jc w:val="left"/>
      </w:pPr>
      <w:r>
        <w:rPr>
          <w:rFonts w:ascii="Times New Roman" w:hAnsi="Times New Roman"/>
          <w:b w:val="0"/>
          <w:i w:val="0"/>
          <w:color w:val="000000"/>
          <w:sz w:val="14"/>
        </w:rPr>
        <w:t>[29] K. Claffy, Y. Hyun, K. Keys, M. Fomenkov, and D. Krioukov, "Internet Mapping: From Art to Science," Proc. IEEE Cybersecurity Applications and Technologies Conference, 2009.</w:t>
      </w:r>
    </w:p>
    <w:p>
      <w:pPr>
        <w:spacing w:line="240" w:lineRule="auto" w:after="20"/>
        <w:ind w:left="259" w:hanging="259"/>
        <w:jc w:val="left"/>
      </w:pPr>
      <w:r>
        <w:rPr>
          <w:rFonts w:ascii="Times New Roman" w:hAnsi="Times New Roman"/>
          <w:b w:val="0"/>
          <w:i w:val="0"/>
          <w:color w:val="000000"/>
          <w:sz w:val="14"/>
        </w:rPr>
        <w:t>[30] M. Luckie, R. Beverly, W. Brinkmeyer, and K. Claffy, "Speedtrap: Internet-Scale IPv6 Alias Resolution," Proc. ACM Internet Measurement Conference, 2013.</w:t>
      </w:r>
    </w:p>
    <w:p>
      <w:pPr>
        <w:spacing w:line="240" w:lineRule="auto" w:after="20"/>
        <w:ind w:left="259" w:hanging="259"/>
        <w:jc w:val="left"/>
      </w:pPr>
      <w:r>
        <w:rPr>
          <w:rFonts w:ascii="Times New Roman" w:hAnsi="Times New Roman"/>
          <w:b w:val="0"/>
          <w:i w:val="0"/>
          <w:color w:val="000000"/>
          <w:sz w:val="14"/>
        </w:rPr>
        <w:t>[31] S. Sundaresan, W. de Donato, N. Feamster, R. Teixeira, S. Crawford, and A. Pescapè, "Broadband Internet Performance: A View from the Gateway," Proc. ACM SIGCOMM, 2011.</w:t>
      </w:r>
    </w:p>
    <w:p>
      <w:pPr>
        <w:spacing w:line="240" w:lineRule="auto" w:after="20"/>
        <w:ind w:left="259" w:hanging="259"/>
        <w:jc w:val="left"/>
      </w:pPr>
      <w:r>
        <w:rPr>
          <w:rFonts w:ascii="Times New Roman" w:hAnsi="Times New Roman"/>
          <w:b w:val="0"/>
          <w:i w:val="0"/>
          <w:color w:val="000000"/>
          <w:sz w:val="14"/>
        </w:rPr>
        <w:t>[32] S. Sundaresan, S. Burnett, N. Feamster, and W. de Donato, "BISmark: A Testbed for Deploying Measurements and Applications in Broadband Access Networks," Proc. USENIX Annual Technical Conference, 2014.</w:t>
      </w:r>
    </w:p>
    <w:p>
      <w:pPr>
        <w:spacing w:line="240" w:lineRule="auto" w:after="20"/>
        <w:ind w:left="259" w:hanging="259"/>
        <w:jc w:val="left"/>
      </w:pPr>
      <w:r>
        <w:rPr>
          <w:rFonts w:ascii="Times New Roman" w:hAnsi="Times New Roman"/>
          <w:b w:val="0"/>
          <w:i w:val="0"/>
          <w:color w:val="000000"/>
          <w:sz w:val="14"/>
        </w:rPr>
        <w:t>[33] M. Mathis, "Diagnosing Mid-Path Network Problems with Measurement Lab Data," Measurement Lab Technical Report, 2023.</w:t>
      </w:r>
    </w:p>
    <w:p>
      <w:pPr>
        <w:spacing w:line="240" w:lineRule="auto" w:after="20"/>
        <w:ind w:left="259" w:hanging="259"/>
        <w:jc w:val="left"/>
      </w:pPr>
      <w:r>
        <w:rPr>
          <w:rFonts w:ascii="Times New Roman" w:hAnsi="Times New Roman"/>
          <w:b w:val="0"/>
          <w:i w:val="0"/>
          <w:color w:val="000000"/>
          <w:sz w:val="14"/>
        </w:rPr>
        <w:t>[34] N. Spring, R. Mahajan, and D. Wetherall, "Measuring ISP Topologies with Rocketfuel," Proc. ACM SIGCOMM, 2002.</w:t>
      </w:r>
    </w:p>
    <w:p>
      <w:pPr>
        <w:spacing w:line="240" w:lineRule="auto" w:after="20"/>
        <w:ind w:left="259" w:hanging="259"/>
        <w:jc w:val="left"/>
      </w:pPr>
      <w:r>
        <w:rPr>
          <w:rFonts w:ascii="Times New Roman" w:hAnsi="Times New Roman"/>
          <w:b w:val="0"/>
          <w:i w:val="0"/>
          <w:color w:val="000000"/>
          <w:sz w:val="14"/>
        </w:rPr>
        <w:t>[35] Y. Shavitt and E. Shir, "DIMES: Let the Internet Measure Itself," ACM SIGCOMM Computer Communication Review, 2005.</w:t>
      </w:r>
    </w:p>
    <w:p>
      <w:pPr>
        <w:spacing w:line="240" w:lineRule="auto" w:after="20"/>
        <w:ind w:left="259" w:hanging="259"/>
        <w:jc w:val="left"/>
      </w:pPr>
      <w:r>
        <w:rPr>
          <w:rFonts w:ascii="Times New Roman" w:hAnsi="Times New Roman"/>
          <w:b w:val="0"/>
          <w:i w:val="0"/>
          <w:color w:val="000000"/>
          <w:sz w:val="14"/>
        </w:rPr>
        <w:t>[36] A. Lakhina, J. W. Byers, M. Crovella, and P. Xie, "Sampling Biases in IP Topology Measurements," Proc. IEEE INFOCOM, 2003.</w:t>
      </w:r>
    </w:p>
    <w:p>
      <w:pPr>
        <w:spacing w:line="240" w:lineRule="auto" w:after="20"/>
        <w:ind w:left="259" w:hanging="259"/>
        <w:jc w:val="left"/>
      </w:pPr>
      <w:r>
        <w:rPr>
          <w:rFonts w:ascii="Times New Roman" w:hAnsi="Times New Roman"/>
          <w:b w:val="0"/>
          <w:i w:val="0"/>
          <w:color w:val="000000"/>
          <w:sz w:val="14"/>
        </w:rPr>
        <w:t>[37] A. Dhamdhere and C. Dovrolis, "Ten Years in the Evolution of the Internet Ecosystem," Proc. ACM Internet Measurement Conference, 2008.</w:t>
      </w:r>
    </w:p>
    <w:p>
      <w:pPr>
        <w:spacing w:line="240" w:lineRule="auto" w:after="20"/>
        <w:ind w:left="259" w:hanging="259"/>
        <w:jc w:val="left"/>
      </w:pPr>
      <w:r>
        <w:rPr>
          <w:rFonts w:ascii="Times New Roman" w:hAnsi="Times New Roman"/>
          <w:b w:val="0"/>
          <w:i w:val="0"/>
          <w:color w:val="000000"/>
          <w:sz w:val="14"/>
        </w:rPr>
        <w:t>[38] A. Gupta, M. Calder, N. Feamster, M. Chetty, E. Calandro, and E. Katz-Bassett, "Peering at the Internet's Frontier: A First Look at ISP Interconnectivity in Africa," Proc. Passive and Active Measurement Conference, 2014.</w:t>
      </w:r>
    </w:p>
    <w:p>
      <w:pPr>
        <w:spacing w:line="240" w:lineRule="auto" w:after="20"/>
        <w:ind w:left="259" w:hanging="259"/>
        <w:jc w:val="left"/>
      </w:pPr>
      <w:r>
        <w:rPr>
          <w:rFonts w:ascii="Times New Roman" w:hAnsi="Times New Roman"/>
          <w:b w:val="0"/>
          <w:i w:val="0"/>
          <w:color w:val="000000"/>
          <w:sz w:val="14"/>
        </w:rPr>
        <w:t>[39] A. Kushwaha, R. Jain, and M. Dave, "Internet Traffic Dynamics during COVID-19 Lockdowns in Indian ISP Networks," Computer Networks, 2024.</w:t>
      </w:r>
    </w:p>
    <w:p>
      <w:pPr>
        <w:spacing w:line="240" w:lineRule="auto" w:after="20"/>
        <w:ind w:left="259" w:hanging="259"/>
        <w:jc w:val="left"/>
      </w:pPr>
      <w:r>
        <w:rPr>
          <w:rFonts w:ascii="Times New Roman" w:hAnsi="Times New Roman"/>
          <w:b w:val="0"/>
          <w:i w:val="0"/>
          <w:color w:val="000000"/>
          <w:sz w:val="14"/>
        </w:rPr>
        <w:t>[40] R. K. Balan, K. X. Nguyen, and L. Jiang, "Realistic Performance Modeling for Mobile Data Networks," Proc. ACM MobiSys, 2011.</w:t>
      </w:r>
    </w:p>
    <w:p>
      <w:pPr>
        <w:spacing w:line="240" w:lineRule="auto" w:after="20"/>
        <w:ind w:left="259" w:hanging="259"/>
        <w:jc w:val="left"/>
      </w:pPr>
      <w:r>
        <w:rPr>
          <w:rFonts w:ascii="Times New Roman" w:hAnsi="Times New Roman"/>
          <w:b w:val="0"/>
          <w:i w:val="0"/>
          <w:color w:val="000000"/>
          <w:sz w:val="14"/>
        </w:rPr>
        <w:t>[41] A. Ghosh, R. Jana, V. Ramaswami, J. Rowland, and N. Shankaranarayanan, "Modeling and Characterization of Large-Scale Wi-Fi Traffic in Public Hot-Spots," Proc. IEEE INFOCOM, 2011.</w:t>
      </w:r>
    </w:p>
    <w:p>
      <w:pPr>
        <w:spacing w:line="240" w:lineRule="auto" w:after="20"/>
        <w:ind w:left="259" w:hanging="259"/>
        <w:jc w:val="left"/>
      </w:pPr>
      <w:r>
        <w:rPr>
          <w:rFonts w:ascii="Times New Roman" w:hAnsi="Times New Roman"/>
          <w:b w:val="0"/>
          <w:i w:val="0"/>
          <w:color w:val="000000"/>
          <w:sz w:val="14"/>
        </w:rPr>
        <w:t>[42] R. Mahajan, D. Wetherall, and T. Anderson, "Understanding BGP Misconfiguration," Proc. ACM SIGCOMM, 2002.</w:t>
      </w:r>
    </w:p>
    <w:p>
      <w:pPr>
        <w:spacing w:line="240" w:lineRule="auto" w:after="20"/>
        <w:ind w:left="259" w:hanging="259"/>
        <w:jc w:val="left"/>
      </w:pPr>
      <w:r>
        <w:rPr>
          <w:rFonts w:ascii="Times New Roman" w:hAnsi="Times New Roman"/>
          <w:b w:val="0"/>
          <w:i w:val="0"/>
          <w:color w:val="000000"/>
          <w:sz w:val="14"/>
        </w:rPr>
        <w:t>[43] H. Chang, S. Jamin, and W. Willinger, "To Peer or Not to Peer: Modeling the Evolution of the Internet's AS-Level Topology," Proc. IEEE INFOCOM, 2006.</w:t>
      </w:r>
    </w:p>
    <w:p>
      <w:pPr>
        <w:spacing w:line="240" w:lineRule="auto" w:after="20"/>
        <w:ind w:left="259" w:hanging="259"/>
        <w:jc w:val="left"/>
      </w:pPr>
      <w:r>
        <w:rPr>
          <w:rFonts w:ascii="Times New Roman" w:hAnsi="Times New Roman"/>
          <w:b w:val="0"/>
          <w:i w:val="0"/>
          <w:color w:val="000000"/>
          <w:sz w:val="14"/>
        </w:rPr>
        <w:t>[44] A. Dhamdhere, C. Dovrolis, and P. Francois, "A Value-Based Framework for Internet Peering Agreements," Proc. International Conference on Network Protocols, 2010.</w:t>
      </w:r>
    </w:p>
    <w:p>
      <w:pPr>
        <w:spacing w:line="240" w:lineRule="auto" w:after="20"/>
        <w:ind w:left="259" w:hanging="259"/>
        <w:jc w:val="left"/>
      </w:pPr>
      <w:r>
        <w:rPr>
          <w:rFonts w:ascii="Times New Roman" w:hAnsi="Times New Roman"/>
          <w:b w:val="0"/>
          <w:i w:val="0"/>
          <w:color w:val="000000"/>
          <w:sz w:val="14"/>
        </w:rPr>
        <w:t>[45] J. Brutlag, "Speed Matters for Google Web Search," Google Technical Report, 2009.</w:t>
      </w:r>
    </w:p>
    <w:p>
      <w:pPr>
        <w:spacing w:line="240" w:lineRule="auto" w:after="20"/>
        <w:ind w:left="259" w:hanging="259"/>
        <w:jc w:val="left"/>
      </w:pPr>
      <w:r>
        <w:rPr>
          <w:rFonts w:ascii="Times New Roman" w:hAnsi="Times New Roman"/>
          <w:b w:val="0"/>
          <w:i w:val="0"/>
          <w:color w:val="000000"/>
          <w:sz w:val="14"/>
        </w:rPr>
        <w:t>[46] S. Egger, T. Hossfeld, R. Schatz, and M. Fiedler, "Waiting Times in Quality of Experience for Web Based Services," Proc. International Workshop on Quality of Multimedia Experience, 2012.</w:t>
      </w:r>
    </w:p>
    <w:p>
      <w:pPr>
        <w:spacing w:line="240" w:lineRule="auto" w:after="20"/>
        <w:ind w:left="259" w:hanging="259"/>
        <w:jc w:val="left"/>
      </w:pPr>
      <w:r>
        <w:rPr>
          <w:rFonts w:ascii="Times New Roman" w:hAnsi="Times New Roman"/>
          <w:b w:val="0"/>
          <w:i w:val="0"/>
          <w:color w:val="000000"/>
          <w:sz w:val="14"/>
        </w:rPr>
        <w:t>[47] M. Fiedler, T. Hossfeld, and P. Tran-Gia, "A Generic Quantitative Relationship between Quality of Experience and Quality of Service," IEEE Network, 2010.</w:t>
      </w:r>
    </w:p>
    <w:p>
      <w:pPr>
        <w:spacing w:line="240" w:lineRule="auto" w:after="20"/>
        <w:ind w:left="259" w:hanging="259"/>
        <w:jc w:val="left"/>
      </w:pPr>
      <w:r>
        <w:rPr>
          <w:rFonts w:ascii="Times New Roman" w:hAnsi="Times New Roman"/>
          <w:b w:val="0"/>
          <w:i w:val="0"/>
          <w:color w:val="000000"/>
          <w:sz w:val="14"/>
        </w:rPr>
        <w:t>[48] R. K. P. Mok, E. W. W. Chan, X. Luo, and R. K. C. Chang, "Inferring the QoE of HTTP Video Streaming from User-Viewing Activities," Proc. ACM SIGCOMM Workshop on Measurements Up the Stack, 2011.</w:t>
      </w:r>
    </w:p>
    <w:p>
      <w:pPr>
        <w:spacing w:line="240" w:lineRule="auto" w:after="20"/>
        <w:ind w:left="259" w:hanging="259"/>
        <w:jc w:val="left"/>
      </w:pPr>
      <w:r>
        <w:rPr>
          <w:rFonts w:ascii="Times New Roman" w:hAnsi="Times New Roman"/>
          <w:b w:val="0"/>
          <w:i w:val="0"/>
          <w:color w:val="000000"/>
          <w:sz w:val="14"/>
        </w:rPr>
        <w:t>[49] T. Hossfeld, R. Schatz, M. Varela, and C. Timmerer, "Challenges of QoE Management for Cloud Applications," IEEE Communications Magazine, 2012.</w:t>
      </w:r>
    </w:p>
    <w:p>
      <w:pPr>
        <w:spacing w:line="240" w:lineRule="auto" w:after="20"/>
        <w:ind w:left="259" w:hanging="259"/>
        <w:jc w:val="left"/>
      </w:pPr>
      <w:r>
        <w:rPr>
          <w:rFonts w:ascii="Times New Roman" w:hAnsi="Times New Roman"/>
          <w:b w:val="0"/>
          <w:i w:val="0"/>
          <w:color w:val="000000"/>
          <w:sz w:val="14"/>
        </w:rPr>
        <w:t>[50] V. Paxson, "End-to-End Internet Packet Dynamics," IEEE/ACM Transactions on Networking, 1999.</w:t>
      </w:r>
    </w:p>
    <w:sectPr w:rsidR="00FC693F" w:rsidRPr="0006063C" w:rsidSect="00034616">
      <w:type w:val="continuous"/>
      <w:pgSz w:w="12240" w:h="15840"/>
      <w:pgMar w:top="1008" w:right="979" w:bottom="1008" w:left="979" w:header="720" w:footer="720" w:gutter="0"/>
      <w:cols w:space="4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rPr>
      <w:rFonts w:ascii="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rPr>
      <w:rFonts w:ascii="Times New Roman" w:hAnsi="Times New Roman"/>
      <w:color w:val="000000"/>
    </w:rPr>
  </w:style>
  <w:style w:type="table" w:default="1" w:styleId="TableNormal">
    <w:name w:val="Normal Table"/>
    <w:uiPriority w:val="99"/>
    <w:semiHidden/>
    <w:unhideWhenUsed/>
    <w:rPr>
      <w:rFonts w:ascii="Times New Roman" w:hAnsi="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rPr>
      <w:rFonts w:ascii="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rFonts w:ascii="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rPr>
      <w:rFonts w:ascii="Times New Roman" w:hAnsi="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Geographic Variability in DNS Resolution and Internet Latency in India</dc:title>
  <dc:subject/>
  <dc:creator>Prof Bhagyashri Thorat, Utkarsh Narwade, Parth Bhad, Neha Niphade</dc:creator>
  <cp:keywords/>
  <dc:description>generated by python-docx</dc:description>
  <cp:lastModifiedBy/>
  <cp:revision>1</cp:revision>
  <dcterms:created xsi:type="dcterms:W3CDTF">2013-12-23T23:15:00Z</dcterms:created>
  <dcterms:modified xsi:type="dcterms:W3CDTF">2013-12-23T23:15:00Z</dcterms:modified>
  <cp:category/>
</cp:coreProperties>
</file>