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ind w:firstLine="0"/>
        <w:jc w:val="center"/>
      </w:pPr>
      <w:r>
        <w:rPr>
          <w:rFonts w:ascii="Times New Roman" w:hAnsi="Times New Roman"/>
          <w:b w:val="0"/>
          <w:i w:val="0"/>
        </w:rPr>
        <w:t>Geographic Variability in DNS Resolution and Internet Latency in India</w:t>
      </w:r>
    </w:p>
    <w:tbl>
      <w:tblPr>
        <w:tblW w:type="auto" w:w="0"/>
        <w:jc w:val="center"/>
        <w:tblLook w:firstColumn="1" w:firstRow="1" w:lastColumn="0" w:lastRow="0" w:noHBand="0" w:noVBand="1" w:val="04A0"/>
      </w:tblPr>
      <w:tblGrid>
        <w:gridCol w:w="3427"/>
        <w:gridCol w:w="3427"/>
        <w:gridCol w:w="3427"/>
      </w:tblGrid>
      <w:tr>
        <w:tc>
          <w:tcPr>
            <w:tcW w:type="dxa" w:w="3427"/>
            <w:tcBorders>
              <w:top w:val="nil"/>
              <w:bottom w:val="nil"/>
              <w:left w:val="nil"/>
              <w:right w:val="nil"/>
              <w:insideH w:val="nil"/>
              <w:insideV w:val="nil"/>
            </w:tcBorders>
          </w:tcPr>
          <w:p>
            <w:pPr>
              <w:spacing w:after="0"/>
              <w:jc w:val="center"/>
            </w:pPr>
            <w:r/>
            <w:r>
              <w:rPr>
                <w:rFonts w:ascii="Times New Roman" w:hAnsi="Times New Roman"/>
                <w:b w:val="0"/>
                <w:sz w:val="18"/>
              </w:rPr>
              <w:t>Utkarsh Narwade</w:t>
              <w:br/>
            </w:r>
            <w:r>
              <w:rPr>
                <w:rFonts w:ascii="Times New Roman" w:hAnsi="Times New Roman"/>
                <w:sz w:val="18"/>
              </w:rPr>
              <w:t>Department of Computer Engineering</w:t>
              <w:br/>
            </w:r>
            <w:r>
              <w:rPr>
                <w:rFonts w:ascii="Times New Roman" w:hAnsi="Times New Roman"/>
                <w:sz w:val="18"/>
              </w:rPr>
              <w:t>International Institute of Information Technology, Pune</w:t>
              <w:br/>
            </w:r>
            <w:r>
              <w:rPr>
                <w:rFonts w:ascii="Times New Roman" w:hAnsi="Times New Roman"/>
                <w:sz w:val="18"/>
              </w:rPr>
              <w:t>utkarshnarwade2006@gmail.com</w:t>
            </w:r>
          </w:p>
        </w:tc>
        <w:tc>
          <w:tcPr>
            <w:tcW w:type="dxa" w:w="3427"/>
            <w:tcBorders>
              <w:top w:val="nil"/>
              <w:bottom w:val="nil"/>
              <w:left w:val="nil"/>
              <w:right w:val="nil"/>
              <w:insideH w:val="nil"/>
              <w:insideV w:val="nil"/>
            </w:tcBorders>
          </w:tcPr>
          <w:p>
            <w:pPr>
              <w:spacing w:after="0"/>
              <w:jc w:val="center"/>
            </w:pPr>
            <w:r/>
            <w:r>
              <w:rPr>
                <w:rFonts w:ascii="Times New Roman" w:hAnsi="Times New Roman"/>
                <w:b w:val="0"/>
                <w:sz w:val="18"/>
              </w:rPr>
              <w:t>Parth Bhad</w:t>
              <w:br/>
            </w:r>
            <w:r>
              <w:rPr>
                <w:rFonts w:ascii="Times New Roman" w:hAnsi="Times New Roman"/>
                <w:sz w:val="18"/>
              </w:rPr>
              <w:t>Department of Computer Engineering</w:t>
              <w:br/>
            </w:r>
            <w:r>
              <w:rPr>
                <w:rFonts w:ascii="Times New Roman" w:hAnsi="Times New Roman"/>
                <w:sz w:val="18"/>
              </w:rPr>
              <w:t>International Institute of Information Technology, Pune</w:t>
              <w:br/>
            </w:r>
            <w:r>
              <w:rPr>
                <w:rFonts w:ascii="Times New Roman" w:hAnsi="Times New Roman"/>
                <w:sz w:val="18"/>
              </w:rPr>
              <w:t>parthbhad2@gmail.com</w:t>
            </w:r>
          </w:p>
        </w:tc>
        <w:tc>
          <w:tcPr>
            <w:tcW w:type="dxa" w:w="3427"/>
            <w:tcBorders>
              <w:top w:val="nil"/>
              <w:bottom w:val="nil"/>
              <w:left w:val="nil"/>
              <w:right w:val="nil"/>
              <w:insideH w:val="nil"/>
              <w:insideV w:val="nil"/>
            </w:tcBorders>
          </w:tcPr>
          <w:p>
            <w:pPr>
              <w:spacing w:after="0"/>
              <w:jc w:val="center"/>
            </w:pPr>
            <w:r/>
            <w:r>
              <w:rPr>
                <w:rFonts w:ascii="Times New Roman" w:hAnsi="Times New Roman"/>
                <w:b w:val="0"/>
                <w:sz w:val="18"/>
              </w:rPr>
              <w:t>Neha Niphade</w:t>
              <w:br/>
            </w:r>
            <w:r>
              <w:rPr>
                <w:rFonts w:ascii="Times New Roman" w:hAnsi="Times New Roman"/>
                <w:sz w:val="18"/>
              </w:rPr>
              <w:t>Department of Computer Engineering</w:t>
              <w:br/>
            </w:r>
            <w:r>
              <w:rPr>
                <w:rFonts w:ascii="Times New Roman" w:hAnsi="Times New Roman"/>
                <w:sz w:val="18"/>
              </w:rPr>
              <w:t>International Institute of Information Technology, Pune</w:t>
              <w:br/>
            </w:r>
            <w:r>
              <w:rPr>
                <w:rFonts w:ascii="Times New Roman" w:hAnsi="Times New Roman"/>
                <w:sz w:val="18"/>
              </w:rPr>
              <w:t>niphadeneha6@gmail.com</w:t>
            </w:r>
          </w:p>
        </w:tc>
      </w:tr>
    </w:tbl>
    <w:p>
      <w:pPr>
        <w:sectPr>
          <w:pgSz w:w="12240" w:h="15840"/>
          <w:pgMar w:top="1037" w:right="979" w:bottom="1037" w:left="979" w:header="720" w:footer="720" w:gutter="0"/>
          <w:cols w:space="720"/>
          <w:docGrid w:linePitch="360"/>
        </w:sectPr>
      </w:pPr>
    </w:p>
    <w:p>
      <w:pPr>
        <w:ind w:firstLine="0"/>
        <w:jc w:val="both"/>
      </w:pPr>
      <w:r>
        <w:rPr>
          <w:rFonts w:ascii="Times New Roman" w:hAnsi="Times New Roman"/>
          <w:b/>
          <w:i/>
        </w:rPr>
        <w:t>Abstract - India contains one of the world's largest and most geographically diverse Internet user populations, yet DNS and latency studies often report national or global averages that hide regional effects. This paper presents an IEEE-style measurement framework for studying geographic variability in DNS resolution and Internet latency across six Indian metropolitan regions: Mumbai MMR, Delhi NCR, Bangalore, Chennai, Hyderabad, and Kolkata. The study design uses physical AIORI anchors, public resolver measurements, inter-city ICMP round-trip time, and path context from traceroute. The manuscript keeps the original study's city set, provider set, author information, and AIORI framing, while rewriting the argument in original language and making the status of reference-estimate values explicit. The reference results suggest that Mumbai and Bangalore benefit from denser peering and resolver infrastructure, while Kolkata and Chennai experience larger absolute delays and higher variability. The paper argues that encrypted DNS deployment, resolver placement, peering policy, and broadband quality targets should be evaluated regionally rather than through a single national average.</w:t>
      </w:r>
    </w:p>
    <w:p>
      <w:pPr>
        <w:ind w:firstLine="0"/>
      </w:pPr>
      <w:r>
        <w:rPr>
          <w:rFonts w:ascii="Times New Roman" w:hAnsi="Times New Roman"/>
          <w:b/>
          <w:i/>
        </w:rPr>
        <w:t>Index Terms - DNS latency, DNS over HTTPS, DNS over QUIC, geographic variability, Internet measurement, India, network latency.</w:t>
      </w:r>
    </w:p>
    <w:p>
      <w:pPr>
        <w:pStyle w:val="Heading1"/>
        <w:ind w:firstLine="0"/>
        <w:jc w:val="center"/>
      </w:pPr>
      <w:r>
        <w:rPr>
          <w:rFonts w:ascii="Times New Roman" w:hAnsi="Times New Roman"/>
          <w:b/>
          <w:i w:val="0"/>
          <w:sz w:val="20"/>
        </w:rPr>
        <w:t>I. Introduction</w:t>
      </w:r>
    </w:p>
    <w:p>
      <w:pPr>
        <w:ind w:firstLine="202"/>
        <w:jc w:val="both"/>
      </w:pPr>
      <w:r>
        <w:rPr>
          <w:rFonts w:ascii="Times New Roman" w:hAnsi="Times New Roman"/>
          <w:b w:val="0"/>
          <w:i w:val="0"/>
        </w:rPr>
        <w:t>The Domain Name System is a critical dependency for web browsing, mobile applications, content delivery, security filtering, and real-time services. A web transaction can involve several DNS lookups before useful content is delivered, so small resolver delays can accumulate into visible page-load penalties. Internet latency also shapes application quality beyond DNS, especially for video conferencing, cloud gaming, financial services, emergency systems, and e-governance portals.</w:t>
      </w:r>
    </w:p>
    <w:p>
      <w:pPr>
        <w:ind w:firstLine="202"/>
        <w:jc w:val="both"/>
      </w:pPr>
      <w:r>
        <w:rPr>
          <w:rFonts w:ascii="Times New Roman" w:hAnsi="Times New Roman"/>
          <w:b w:val="0"/>
          <w:i w:val="0"/>
        </w:rPr>
        <w:t>India is a useful setting for studying geographic performance variation because large user populations, long domestic paths, multiple access technologies, and uneven peering density coexist within one national network environment. Measurements that average across the country can conceal differences between western submarine-cable hubs, southern technology corridors, northern exchange regions, and eastern networks with fewer local peering options.</w:t>
      </w:r>
    </w:p>
    <w:p>
      <w:pPr>
        <w:ind w:firstLine="202"/>
        <w:jc w:val="both"/>
      </w:pPr>
      <w:r>
        <w:rPr>
          <w:rFonts w:ascii="Times New Roman" w:hAnsi="Times New Roman"/>
          <w:b w:val="0"/>
          <w:i w:val="0"/>
        </w:rPr>
        <w:t>This paper reformulates the supplied draft into a reproducible research manuscript. It studies six metropolitan regions and four public DNS providers: Cloudflare, Google Public DNS, Quad9, and OpenDNS. The analysis separates unencrypted DNS over UDP from encrypted DNS modes such as DoH and DoQ, because privacy-preserving resolution changes the latency path through TLS, HTTP, and QUIC transport behavior [1]-[8].</w:t>
      </w:r>
    </w:p>
    <w:p>
      <w:pPr>
        <w:ind w:firstLine="202"/>
        <w:jc w:val="both"/>
      </w:pPr>
      <w:r>
        <w:rPr>
          <w:rFonts w:ascii="Times New Roman" w:hAnsi="Times New Roman"/>
          <w:b w:val="0"/>
          <w:i w:val="0"/>
        </w:rPr>
        <w:t>The work makes four contributions. First, it presents a city-level framework for measuring DNS and round-trip latency using physical Indian vantage points. Second, it compares public resolver performance across geographic regions and protocol modes. Third, it relates inter-city and intra-city latency to peering, access technology, and content placement. Fourth, it connects the results to deployment and policy decisions for resolver operators, ISPs, CDNs, and broadband quality monitoring.</w:t>
      </w:r>
    </w:p>
    <w:p>
      <w:pPr>
        <w:pStyle w:val="Heading1"/>
        <w:ind w:firstLine="0"/>
        <w:jc w:val="center"/>
      </w:pPr>
      <w:r>
        <w:rPr>
          <w:rFonts w:ascii="Times New Roman" w:hAnsi="Times New Roman"/>
          <w:b/>
          <w:i w:val="0"/>
          <w:sz w:val="20"/>
        </w:rPr>
        <w:t>II. Background and Related Work</w:t>
      </w:r>
    </w:p>
    <w:p>
      <w:pPr>
        <w:pStyle w:val="Heading2"/>
        <w:ind w:firstLine="0"/>
      </w:pPr>
      <w:r>
        <w:rPr>
          <w:rFonts w:ascii="Times New Roman" w:hAnsi="Times New Roman"/>
          <w:b w:val="0"/>
          <w:i w:val="0"/>
          <w:sz w:val="18"/>
        </w:rPr>
        <w:t>A. DNS Resolution and Encrypted DNS</w:t>
      </w:r>
    </w:p>
    <w:p>
      <w:pPr>
        <w:ind w:firstLine="202"/>
        <w:jc w:val="both"/>
      </w:pPr>
      <w:r>
        <w:rPr>
          <w:rFonts w:ascii="Times New Roman" w:hAnsi="Times New Roman"/>
          <w:b w:val="0"/>
          <w:i w:val="0"/>
        </w:rPr>
        <w:t>DNS resolution performance depends on resolver placement, cache state, transport protocol, and routing. Classic DNS measurements show that resolver selection and caching strongly influence user-perceived performance [9]-[13]. More recent studies show that encrypted DNS can improve privacy but may add handshake, transport, and resolver-selection overheads, especially when DoH is deployed without connection reuse [1]-[8]. DoQ and HTTP/3 can reduce this cost through QUIC multiplexing and 0-RTT resumption, but their benefits depend on deployment support and network path quality.</w:t>
      </w:r>
    </w:p>
    <w:p>
      <w:pPr>
        <w:pStyle w:val="Heading2"/>
        <w:ind w:firstLine="0"/>
      </w:pPr>
      <w:r>
        <w:rPr>
          <w:rFonts w:ascii="Times New Roman" w:hAnsi="Times New Roman"/>
          <w:b w:val="0"/>
          <w:i w:val="0"/>
          <w:sz w:val="18"/>
        </w:rPr>
        <w:t>B. Anycast, CDN Placement, and Resolver Assignment</w:t>
      </w:r>
    </w:p>
    <w:p>
      <w:pPr>
        <w:ind w:firstLine="202"/>
        <w:jc w:val="both"/>
      </w:pPr>
      <w:r>
        <w:rPr>
          <w:rFonts w:ascii="Times New Roman" w:hAnsi="Times New Roman"/>
          <w:b w:val="0"/>
          <w:i w:val="0"/>
        </w:rPr>
        <w:t>Public DNS services and CDNs rely heavily on anycast, where packets are routed to a nearby service instance using BGP. Anycast improves resilience and scale, but client-to-site mapping can be suboptimal when BGP policy, peering, or traffic engineering routes users to distant sites [14]-[20]. DNS-based redirection also interacts with CDNs and recursive resolvers, making resolver location important for content placement and application latency [21]-[25].</w:t>
      </w:r>
    </w:p>
    <w:p>
      <w:pPr>
        <w:pStyle w:val="Heading2"/>
        <w:ind w:firstLine="0"/>
      </w:pPr>
      <w:r>
        <w:rPr>
          <w:rFonts w:ascii="Times New Roman" w:hAnsi="Times New Roman"/>
          <w:b w:val="0"/>
          <w:i w:val="0"/>
          <w:sz w:val="18"/>
        </w:rPr>
        <w:t>C. Internet Measurement Platforms</w:t>
      </w:r>
    </w:p>
    <w:p>
      <w:pPr>
        <w:ind w:firstLine="202"/>
        <w:jc w:val="both"/>
      </w:pPr>
      <w:r>
        <w:rPr>
          <w:rFonts w:ascii="Times New Roman" w:hAnsi="Times New Roman"/>
          <w:b w:val="0"/>
          <w:i w:val="0"/>
        </w:rPr>
        <w:t>Large-scale Internet measurement has used active probes, browser-based measurements, CDN logs, RIPE Atlas, M-Lab, CAIDA Ark, and ISP middleboxes [26]-[34]. Physical probes are valuable for this study because they capture last-mile and ISP routing conditions that cloud virtual machines often bypass. Prior work also warns that aggregation by administrative geography can hide the actual boundaries of network performance communities [35]-[37].</w:t>
      </w:r>
    </w:p>
    <w:p>
      <w:pPr>
        <w:pStyle w:val="Heading2"/>
        <w:ind w:firstLine="0"/>
      </w:pPr>
      <w:r>
        <w:rPr>
          <w:rFonts w:ascii="Times New Roman" w:hAnsi="Times New Roman"/>
          <w:b w:val="0"/>
          <w:i w:val="0"/>
          <w:sz w:val="18"/>
        </w:rPr>
        <w:t>D. Indian Internet Context</w:t>
      </w:r>
    </w:p>
    <w:p>
      <w:pPr>
        <w:ind w:firstLine="202"/>
        <w:jc w:val="both"/>
      </w:pPr>
      <w:r>
        <w:rPr>
          <w:rFonts w:ascii="Times New Roman" w:hAnsi="Times New Roman"/>
          <w:b w:val="0"/>
          <w:i w:val="0"/>
        </w:rPr>
        <w:t>Indian Internet performance is shaped by national backbone investment, submarine cable landing stations, large mobile access networks, and participation in domestic exchange points. Prior studies of Indian traffic, broadband performance, COVID-era demand changes, and regional infrastructure show that capacity and routing are not spatially uniform [38]-[44]. This paper extends that discussion by organizing DNS and RTT behavior around city-level vantage points and protocol choices.</w:t>
      </w:r>
    </w:p>
    <w:p>
      <w:pPr>
        <w:pStyle w:val="Heading2"/>
        <w:ind w:firstLine="0"/>
      </w:pPr>
      <w:r>
        <w:rPr>
          <w:rFonts w:ascii="Times New Roman" w:hAnsi="Times New Roman"/>
          <w:b w:val="0"/>
          <w:i w:val="0"/>
          <w:sz w:val="18"/>
        </w:rPr>
        <w:t>E. Latency, Quality of Experience, and Policy</w:t>
      </w:r>
    </w:p>
    <w:p>
      <w:pPr>
        <w:ind w:firstLine="202"/>
        <w:jc w:val="both"/>
      </w:pPr>
      <w:r>
        <w:rPr>
          <w:rFonts w:ascii="Times New Roman" w:hAnsi="Times New Roman"/>
          <w:b w:val="0"/>
          <w:i w:val="0"/>
        </w:rPr>
        <w:t>Latency affects search, commerce, video, conferencing, gaming, and public-service access. Studies of web performance and quality of experience show that hundreds of milliseconds can influence user engagement and task success [45]-[50]. For regulators and network operators, this means DNS and RTT metrics should be tracked by region, provider, and access technology rather than reported only as countrywide medians.</w:t>
      </w:r>
    </w:p>
    <w:p>
      <w:pPr>
        <w:pStyle w:val="Heading1"/>
        <w:ind w:firstLine="0"/>
        <w:jc w:val="center"/>
      </w:pPr>
      <w:r>
        <w:rPr>
          <w:rFonts w:ascii="Times New Roman" w:hAnsi="Times New Roman"/>
          <w:b/>
          <w:i w:val="0"/>
          <w:sz w:val="20"/>
        </w:rPr>
        <w:t>III. Methodology</w:t>
      </w:r>
    </w:p>
    <w:p>
      <w:pPr>
        <w:ind w:firstLine="202"/>
        <w:jc w:val="both"/>
      </w:pPr>
      <w:r>
        <w:rPr>
          <w:rFonts w:ascii="Times New Roman" w:hAnsi="Times New Roman"/>
          <w:b w:val="0"/>
          <w:i w:val="0"/>
        </w:rPr>
        <w:t>The study uses a distributed measurement design across six Indian metropolitan regions: Mumbai MMR, Delhi NCR, Bangalore, Chennai, Hyderabad, and Kolkata. These regions represent western, northern, southern, central-southern, south-eastern, and eastern network environments. The supplied source identifies AIORI anchors at ISP-connected locations, which are more representative of user-facing paths than cloud-only probes.</w:t>
      </w:r>
    </w:p>
    <w:tbl>
      <w:tblPr>
        <w:tblW w:type="auto" w:w="0"/>
        <w:jc w:val="center"/>
        <w:tblLayout w:type="autofit"/>
        <w:tblLook w:firstColumn="1" w:firstRow="1" w:lastColumn="0" w:lastRow="0" w:noHBand="0" w:noVBand="1" w:val="04A0"/>
      </w:tblPr>
      <w:tblGrid>
        <w:gridCol w:w="2056"/>
        <w:gridCol w:w="2056"/>
        <w:gridCol w:w="2056"/>
        <w:gridCol w:w="2056"/>
        <w:gridCol w:w="2056"/>
      </w:tblGrid>
      <w:tr>
        <w:tc>
          <w:tcPr>
            <w:tcW w:type="dxa" w:w="1440"/>
            <w:shd w:fill="EAEAEA"/>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left"/>
            </w:pPr>
            <w:r>
              <w:rPr>
                <w:rFonts w:ascii="Times New Roman" w:hAnsi="Times New Roman"/>
                <w:b/>
                <w:sz w:val="14"/>
              </w:rPr>
              <w:t>City</w:t>
            </w:r>
          </w:p>
        </w:tc>
        <w:tc>
          <w:tcPr>
            <w:tcW w:type="dxa" w:w="1080"/>
            <w:shd w:fill="EAEAEA"/>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sz w:val="14"/>
              </w:rPr>
              <w:t>Anchor ID</w:t>
            </w:r>
          </w:p>
        </w:tc>
        <w:tc>
          <w:tcPr>
            <w:tcW w:type="dxa" w:w="1656"/>
            <w:shd w:fill="EAEAEA"/>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sz w:val="14"/>
              </w:rPr>
              <w:t>Location Label</w:t>
            </w:r>
          </w:p>
        </w:tc>
        <w:tc>
          <w:tcPr>
            <w:tcW w:type="dxa" w:w="1512"/>
            <w:shd w:fill="EAEAEA"/>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sz w:val="14"/>
              </w:rPr>
              <w:t>Coordinates</w:t>
            </w:r>
          </w:p>
        </w:tc>
        <w:tc>
          <w:tcPr>
            <w:tcW w:type="dxa" w:w="1152"/>
            <w:shd w:fill="EAEAEA"/>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sz w:val="14"/>
              </w:rPr>
              <w:t>Measurements</w:t>
            </w:r>
          </w:p>
        </w:tc>
      </w:tr>
      <w:tr>
        <w:tc>
          <w:tcPr>
            <w:tcW w:type="dxa" w:w="1440"/>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left"/>
            </w:pPr>
            <w:r>
              <w:rPr>
                <w:rFonts w:ascii="Times New Roman" w:hAnsi="Times New Roman"/>
                <w:b w:val="0"/>
                <w:sz w:val="14"/>
              </w:rPr>
              <w:t>Mumbai MMR</w:t>
            </w:r>
          </w:p>
        </w:tc>
        <w:tc>
          <w:tcPr>
            <w:tcW w:type="dxa" w:w="1080"/>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IN-V2-101</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Pimpri-Chinchwad</w:t>
            </w:r>
          </w:p>
        </w:tc>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18.63 N, 73.80 E</w:t>
            </w:r>
          </w:p>
        </w:tc>
        <w:tc>
          <w:tcPr>
            <w:tcW w:type="dxa" w:w="1152"/>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DNS, Ping</w:t>
            </w:r>
          </w:p>
        </w:tc>
      </w:tr>
      <w:tr>
        <w:tc>
          <w:tcPr>
            <w:tcW w:type="dxa" w:w="1440"/>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left"/>
            </w:pPr>
            <w:r>
              <w:rPr>
                <w:rFonts w:ascii="Times New Roman" w:hAnsi="Times New Roman"/>
                <w:b w:val="0"/>
                <w:sz w:val="14"/>
              </w:rPr>
              <w:t>Delhi NCR</w:t>
            </w:r>
          </w:p>
        </w:tc>
        <w:tc>
          <w:tcPr>
            <w:tcW w:type="dxa" w:w="1080"/>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IN-V2-29</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Noida</w:t>
            </w:r>
          </w:p>
        </w:tc>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28.57 N, 77.32 E</w:t>
            </w:r>
          </w:p>
        </w:tc>
        <w:tc>
          <w:tcPr>
            <w:tcW w:type="dxa" w:w="1152"/>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DNS, Ping</w:t>
            </w:r>
          </w:p>
        </w:tc>
      </w:tr>
      <w:tr>
        <w:tc>
          <w:tcPr>
            <w:tcW w:type="dxa" w:w="1440"/>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left"/>
            </w:pPr>
            <w:r>
              <w:rPr>
                <w:rFonts w:ascii="Times New Roman" w:hAnsi="Times New Roman"/>
                <w:b w:val="0"/>
                <w:sz w:val="14"/>
              </w:rPr>
              <w:t>Bangalore</w:t>
            </w:r>
          </w:p>
        </w:tc>
        <w:tc>
          <w:tcPr>
            <w:tcW w:type="dxa" w:w="1080"/>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IN-V2-232</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Bengaluru</w:t>
            </w:r>
          </w:p>
        </w:tc>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12.97 N, 77.59 E</w:t>
            </w:r>
          </w:p>
        </w:tc>
        <w:tc>
          <w:tcPr>
            <w:tcW w:type="dxa" w:w="1152"/>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DNS, Ping</w:t>
            </w:r>
          </w:p>
        </w:tc>
      </w:tr>
      <w:tr>
        <w:tc>
          <w:tcPr>
            <w:tcW w:type="dxa" w:w="1440"/>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left"/>
            </w:pPr>
            <w:r>
              <w:rPr>
                <w:rFonts w:ascii="Times New Roman" w:hAnsi="Times New Roman"/>
                <w:b w:val="0"/>
                <w:sz w:val="14"/>
              </w:rPr>
              <w:t>Chennai</w:t>
            </w:r>
          </w:p>
        </w:tc>
        <w:tc>
          <w:tcPr>
            <w:tcW w:type="dxa" w:w="1080"/>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IN-V2-208</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Chennai</w:t>
            </w:r>
          </w:p>
        </w:tc>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13.08 N, 80.27 E</w:t>
            </w:r>
          </w:p>
        </w:tc>
        <w:tc>
          <w:tcPr>
            <w:tcW w:type="dxa" w:w="1152"/>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DNS, Ping</w:t>
            </w:r>
          </w:p>
        </w:tc>
      </w:tr>
      <w:tr>
        <w:tc>
          <w:tcPr>
            <w:tcW w:type="dxa" w:w="1440"/>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left"/>
            </w:pPr>
            <w:r>
              <w:rPr>
                <w:rFonts w:ascii="Times New Roman" w:hAnsi="Times New Roman"/>
                <w:b w:val="0"/>
                <w:sz w:val="14"/>
              </w:rPr>
              <w:t>Hyderabad</w:t>
            </w:r>
          </w:p>
        </w:tc>
        <w:tc>
          <w:tcPr>
            <w:tcW w:type="dxa" w:w="1080"/>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IN-23</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Hyderabad</w:t>
            </w:r>
          </w:p>
        </w:tc>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17.38 N, 78.47 E</w:t>
            </w:r>
          </w:p>
        </w:tc>
        <w:tc>
          <w:tcPr>
            <w:tcW w:type="dxa" w:w="1152"/>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DNS, Ping</w:t>
            </w:r>
          </w:p>
        </w:tc>
      </w:tr>
      <w:tr>
        <w:tc>
          <w:tcPr>
            <w:tcW w:type="dxa" w:w="1440"/>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left"/>
            </w:pPr>
            <w:r>
              <w:rPr>
                <w:rFonts w:ascii="Times New Roman" w:hAnsi="Times New Roman"/>
                <w:b w:val="0"/>
                <w:sz w:val="14"/>
              </w:rPr>
              <w:t>Kolkata</w:t>
            </w:r>
          </w:p>
        </w:tc>
        <w:tc>
          <w:tcPr>
            <w:tcW w:type="dxa" w:w="1080"/>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IN-V2-219</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Kolkata</w:t>
            </w:r>
          </w:p>
        </w:tc>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22.57 N, 88.36 E</w:t>
            </w:r>
          </w:p>
        </w:tc>
        <w:tc>
          <w:tcPr>
            <w:tcW w:type="dxa" w:w="1152"/>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DNS, Ping</w:t>
            </w:r>
          </w:p>
        </w:tc>
      </w:tr>
    </w:tbl>
    <w:p>
      <w:pPr>
        <w:spacing w:after="40"/>
        <w:ind w:firstLine="202"/>
      </w:pPr>
      <w:r>
        <w:rPr>
          <w:rFonts w:ascii="Times New Roman" w:hAnsi="Times New Roman"/>
          <w:b w:val="0"/>
          <w:i w:val="0"/>
        </w:rPr>
      </w:r>
    </w:p>
    <w:p>
      <w:pPr>
        <w:ind w:firstLine="0"/>
        <w:jc w:val="center"/>
      </w:pPr>
      <w:r>
        <w:rPr>
          <w:rFonts w:ascii="Times New Roman" w:hAnsi="Times New Roman"/>
          <w:b w:val="0"/>
          <w:i/>
        </w:rPr>
        <w:t>Table I. AIORI anchor nodes used in the study design.</w:t>
      </w:r>
    </w:p>
    <w:p>
      <w:pPr>
        <w:ind w:firstLine="202"/>
        <w:jc w:val="both"/>
      </w:pPr>
      <w:r>
        <w:rPr>
          <w:rFonts w:ascii="Times New Roman" w:hAnsi="Times New Roman"/>
          <w:b w:val="0"/>
          <w:i w:val="0"/>
        </w:rPr>
        <w:t>For DNS tests, the framework queries Cloudflare, Google Public DNS, Quad9, and OpenDNS using standard A-record lookups. Protocol-level comparisons distinguish Do53, initial DoH, warm DoH, and DoQ. For network latency, the framework uses ICMP ping to public anycast targets and to other study anchors. Traceroute is used as supporting evidence for path inflation and AS-level routing differences.</w:t>
      </w:r>
    </w:p>
    <w:tbl>
      <w:tblPr>
        <w:tblW w:type="auto" w:w="0"/>
        <w:jc w:val="center"/>
        <w:tblLayout w:type="autofit"/>
        <w:tblLook w:firstColumn="1" w:firstRow="1" w:lastColumn="0" w:lastRow="0" w:noHBand="0" w:noVBand="1" w:val="04A0"/>
      </w:tblPr>
      <w:tblGrid>
        <w:gridCol w:w="3427"/>
        <w:gridCol w:w="3427"/>
        <w:gridCol w:w="3427"/>
      </w:tblGrid>
      <w:tr>
        <w:tc>
          <w:tcPr>
            <w:tcW w:type="dxa" w:w="1080"/>
            <w:shd w:fill="EAEAEA"/>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left"/>
            </w:pPr>
            <w:r>
              <w:rPr>
                <w:rFonts w:ascii="Times New Roman" w:hAnsi="Times New Roman"/>
                <w:b/>
                <w:sz w:val="14"/>
              </w:rPr>
              <w:t>Metric</w:t>
            </w:r>
          </w:p>
        </w:tc>
        <w:tc>
          <w:tcPr>
            <w:tcW w:type="dxa" w:w="1656"/>
            <w:shd w:fill="EAEAEA"/>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sz w:val="14"/>
              </w:rPr>
              <w:t>Meaning</w:t>
            </w:r>
          </w:p>
        </w:tc>
        <w:tc>
          <w:tcPr>
            <w:tcW w:type="dxa" w:w="3672"/>
            <w:shd w:fill="EAEAEA"/>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sz w:val="14"/>
              </w:rPr>
              <w:t>Interpretation</w:t>
            </w:r>
          </w:p>
        </w:tc>
      </w:tr>
      <w:tr>
        <w:tc>
          <w:tcPr>
            <w:tcW w:type="dxa" w:w="1080"/>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left"/>
            </w:pPr>
            <w:r>
              <w:rPr>
                <w:rFonts w:ascii="Times New Roman" w:hAnsi="Times New Roman"/>
                <w:b w:val="0"/>
                <w:sz w:val="14"/>
              </w:rPr>
              <w:t>Do53</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Standard UDP DNS</w:t>
            </w:r>
          </w:p>
        </w:tc>
        <w:tc>
          <w:tcPr>
            <w:tcW w:type="dxa" w:w="3672"/>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Baseline DNS resolution time without encryption overhead.</w:t>
            </w:r>
          </w:p>
        </w:tc>
      </w:tr>
      <w:tr>
        <w:tc>
          <w:tcPr>
            <w:tcW w:type="dxa" w:w="1080"/>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left"/>
            </w:pPr>
            <w:r>
              <w:rPr>
                <w:rFonts w:ascii="Times New Roman" w:hAnsi="Times New Roman"/>
                <w:b w:val="0"/>
                <w:sz w:val="14"/>
              </w:rPr>
              <w:t>DoH1</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Initial DNS over HTTPS</w:t>
            </w:r>
          </w:p>
        </w:tc>
        <w:tc>
          <w:tcPr>
            <w:tcW w:type="dxa" w:w="3672"/>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First encrypted query including TLS and HTTPS transaction cost.</w:t>
            </w:r>
          </w:p>
        </w:tc>
      </w:tr>
      <w:tr>
        <w:tc>
          <w:tcPr>
            <w:tcW w:type="dxa" w:w="1080"/>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left"/>
            </w:pPr>
            <w:r>
              <w:rPr>
                <w:rFonts w:ascii="Times New Roman" w:hAnsi="Times New Roman"/>
                <w:b w:val="0"/>
                <w:sz w:val="14"/>
              </w:rPr>
              <w:t>DoH10</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Warm DNS over HTTPS</w:t>
            </w:r>
          </w:p>
        </w:tc>
        <w:tc>
          <w:tcPr>
            <w:tcW w:type="dxa" w:w="3672"/>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Subsequent DoH query after session reuse.</w:t>
            </w:r>
          </w:p>
        </w:tc>
      </w:tr>
      <w:tr>
        <w:tc>
          <w:tcPr>
            <w:tcW w:type="dxa" w:w="1080"/>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left"/>
            </w:pPr>
            <w:r>
              <w:rPr>
                <w:rFonts w:ascii="Times New Roman" w:hAnsi="Times New Roman"/>
                <w:b w:val="0"/>
                <w:sz w:val="14"/>
              </w:rPr>
              <w:t>DoQ</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DNS over QUIC</w:t>
            </w:r>
          </w:p>
        </w:tc>
        <w:tc>
          <w:tcPr>
            <w:tcW w:type="dxa" w:w="3672"/>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Encrypted DNS using QUIC transport and connection reuse.</w:t>
            </w:r>
          </w:p>
        </w:tc>
      </w:tr>
      <w:tr>
        <w:tc>
          <w:tcPr>
            <w:tcW w:type="dxa" w:w="1080"/>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left"/>
            </w:pPr>
            <w:r>
              <w:rPr>
                <w:rFonts w:ascii="Times New Roman" w:hAnsi="Times New Roman"/>
                <w:b w:val="0"/>
                <w:sz w:val="14"/>
              </w:rPr>
              <w:t>RTT local</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Local round-trip time</w:t>
            </w:r>
          </w:p>
        </w:tc>
        <w:tc>
          <w:tcPr>
            <w:tcW w:type="dxa" w:w="3672"/>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Ping to nearby CDN or IXP route target.</w:t>
            </w:r>
          </w:p>
        </w:tc>
      </w:tr>
      <w:tr>
        <w:tc>
          <w:tcPr>
            <w:tcW w:type="dxa" w:w="1080"/>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left"/>
            </w:pPr>
            <w:r>
              <w:rPr>
                <w:rFonts w:ascii="Times New Roman" w:hAnsi="Times New Roman"/>
                <w:b w:val="0"/>
                <w:sz w:val="14"/>
              </w:rPr>
              <w:t>RTT cross</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Cross-city round-trip time</w:t>
            </w:r>
          </w:p>
        </w:tc>
        <w:tc>
          <w:tcPr>
            <w:tcW w:type="dxa" w:w="3672"/>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Ping between anchors in different cities.</w:t>
            </w:r>
          </w:p>
        </w:tc>
      </w:tr>
      <w:tr>
        <w:tc>
          <w:tcPr>
            <w:tcW w:type="dxa" w:w="1080"/>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left"/>
            </w:pPr>
            <w:r>
              <w:rPr>
                <w:rFonts w:ascii="Times New Roman" w:hAnsi="Times New Roman"/>
                <w:b w:val="0"/>
                <w:sz w:val="14"/>
              </w:rPr>
              <w:t>PLT</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Page-load contribution</w:t>
            </w:r>
          </w:p>
        </w:tc>
        <w:tc>
          <w:tcPr>
            <w:tcW w:type="dxa" w:w="3672"/>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Estimated page-load delay attributable to DNS choice.</w:t>
            </w:r>
          </w:p>
        </w:tc>
      </w:tr>
    </w:tbl>
    <w:p>
      <w:pPr>
        <w:spacing w:after="40"/>
        <w:ind w:firstLine="202"/>
      </w:pPr>
      <w:r>
        <w:rPr>
          <w:rFonts w:ascii="Times New Roman" w:hAnsi="Times New Roman"/>
          <w:b w:val="0"/>
          <w:i w:val="0"/>
        </w:rPr>
      </w:r>
    </w:p>
    <w:p>
      <w:pPr>
        <w:ind w:firstLine="0"/>
        <w:jc w:val="center"/>
      </w:pPr>
      <w:r>
        <w:rPr>
          <w:rFonts w:ascii="Times New Roman" w:hAnsi="Times New Roman"/>
          <w:b w:val="0"/>
          <w:i/>
        </w:rPr>
        <w:t>Table II. Metrics used for DNS and latency analysis.</w:t>
      </w:r>
    </w:p>
    <w:p>
      <w:pPr>
        <w:ind w:firstLine="202"/>
        <w:jc w:val="both"/>
      </w:pPr>
      <w:r>
        <w:rPr>
          <w:rFonts w:ascii="Times New Roman" w:hAnsi="Times New Roman"/>
          <w:b w:val="0"/>
          <w:i w:val="0"/>
        </w:rPr>
        <w:t>The source document contains reference values and explicitly notes that some values are placeholders or baseline estimates pending final AIORI exports. To avoid overstating the evidence, this manuscript treats the numeric tables as reference-estimate results unless the final measurement logs are later attached. This choice preserves the user's study design while keeping the paper academically honest.</w:t>
      </w:r>
    </w:p>
    <w:p>
      <w:pPr>
        <w:pStyle w:val="Heading1"/>
        <w:ind w:firstLine="0"/>
        <w:jc w:val="center"/>
      </w:pPr>
      <w:r>
        <w:rPr>
          <w:rFonts w:ascii="Times New Roman" w:hAnsi="Times New Roman"/>
          <w:b/>
          <w:i w:val="0"/>
          <w:sz w:val="20"/>
        </w:rPr>
        <w:t>IV. Results</w:t>
      </w:r>
    </w:p>
    <w:p>
      <w:pPr>
        <w:pStyle w:val="Heading2"/>
        <w:ind w:firstLine="0"/>
      </w:pPr>
      <w:r>
        <w:rPr>
          <w:rFonts w:ascii="Times New Roman" w:hAnsi="Times New Roman"/>
          <w:b w:val="0"/>
          <w:i w:val="0"/>
          <w:sz w:val="18"/>
        </w:rPr>
        <w:t>A. Inter-city Round-trip Time</w:t>
      </w:r>
    </w:p>
    <w:tbl>
      <w:tblPr>
        <w:tblW w:type="auto" w:w="0"/>
        <w:jc w:val="center"/>
        <w:tblLayout w:type="autofit"/>
        <w:tblLook w:firstColumn="1" w:firstRow="1" w:lastColumn="0" w:lastRow="0" w:noHBand="0" w:noVBand="1" w:val="04A0"/>
      </w:tblPr>
      <w:tblGrid>
        <w:gridCol w:w="1469"/>
        <w:gridCol w:w="1469"/>
        <w:gridCol w:w="1469"/>
        <w:gridCol w:w="1469"/>
        <w:gridCol w:w="1469"/>
        <w:gridCol w:w="1469"/>
        <w:gridCol w:w="1469"/>
      </w:tblGrid>
      <w:tr>
        <w:tc>
          <w:tcPr>
            <w:tcW w:type="dxa" w:w="936"/>
            <w:shd w:fill="EAEAEA"/>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left"/>
            </w:pPr>
            <w:r>
              <w:rPr>
                <w:rFonts w:ascii="Times New Roman" w:hAnsi="Times New Roman"/>
                <w:b/>
                <w:sz w:val="14"/>
              </w:rPr>
              <w:t>From / To</w:t>
            </w:r>
          </w:p>
        </w:tc>
        <w:tc>
          <w:tcPr>
            <w:tcW w:type="dxa" w:w="893"/>
            <w:shd w:fill="EAEAEA"/>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sz w:val="14"/>
              </w:rPr>
              <w:t>Mumbai</w:t>
            </w:r>
          </w:p>
        </w:tc>
        <w:tc>
          <w:tcPr>
            <w:tcW w:type="dxa" w:w="893"/>
            <w:shd w:fill="EAEAEA"/>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sz w:val="14"/>
              </w:rPr>
              <w:t>Delhi</w:t>
            </w:r>
          </w:p>
        </w:tc>
        <w:tc>
          <w:tcPr>
            <w:tcW w:type="dxa" w:w="1037"/>
            <w:shd w:fill="EAEAEA"/>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sz w:val="14"/>
              </w:rPr>
              <w:t>Bangalore</w:t>
            </w:r>
          </w:p>
        </w:tc>
        <w:tc>
          <w:tcPr>
            <w:tcW w:type="dxa" w:w="1037"/>
            <w:shd w:fill="EAEAEA"/>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sz w:val="14"/>
              </w:rPr>
              <w:t>Chennai</w:t>
            </w:r>
          </w:p>
        </w:tc>
        <w:tc>
          <w:tcPr>
            <w:tcW w:type="dxa" w:w="1066"/>
            <w:shd w:fill="EAEAEA"/>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sz w:val="14"/>
              </w:rPr>
              <w:t>Hyderabad</w:t>
            </w:r>
          </w:p>
        </w:tc>
        <w:tc>
          <w:tcPr>
            <w:tcW w:type="dxa" w:w="950"/>
            <w:shd w:fill="EAEAEA"/>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sz w:val="14"/>
              </w:rPr>
              <w:t>Kolkata</w:t>
            </w:r>
          </w:p>
        </w:tc>
      </w:tr>
      <w:tr>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left"/>
            </w:pPr>
            <w:r>
              <w:rPr>
                <w:rFonts w:ascii="Times New Roman" w:hAnsi="Times New Roman"/>
                <w:b w:val="0"/>
                <w:sz w:val="14"/>
              </w:rPr>
              <w:t>Mumbai</w:t>
            </w:r>
          </w:p>
        </w:tc>
        <w:tc>
          <w:tcPr>
            <w:tcW w:type="dxa" w:w="893"/>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w:t>
            </w:r>
          </w:p>
        </w:tc>
        <w:tc>
          <w:tcPr>
            <w:tcW w:type="dxa" w:w="893"/>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22 +/- 1.8</w:t>
            </w:r>
          </w:p>
        </w:tc>
        <w:tc>
          <w:tcPr>
            <w:tcW w:type="dxa" w:w="1037"/>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18 +/- 1.4</w:t>
            </w:r>
          </w:p>
        </w:tc>
        <w:tc>
          <w:tcPr>
            <w:tcW w:type="dxa" w:w="1037"/>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25 +/- 2.1</w:t>
            </w:r>
          </w:p>
        </w:tc>
        <w:tc>
          <w:tcPr>
            <w:tcW w:type="dxa" w:w="1066"/>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16 +/- 1.3</w:t>
            </w:r>
          </w:p>
        </w:tc>
        <w:tc>
          <w:tcPr>
            <w:tcW w:type="dxa" w:w="950"/>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42 +/- 3.6</w:t>
            </w:r>
          </w:p>
        </w:tc>
      </w:tr>
      <w:tr>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left"/>
            </w:pPr>
            <w:r>
              <w:rPr>
                <w:rFonts w:ascii="Times New Roman" w:hAnsi="Times New Roman"/>
                <w:b w:val="0"/>
                <w:sz w:val="14"/>
              </w:rPr>
              <w:t>Delhi</w:t>
            </w:r>
          </w:p>
        </w:tc>
        <w:tc>
          <w:tcPr>
            <w:tcW w:type="dxa" w:w="893"/>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24 +/- 1.9</w:t>
            </w:r>
          </w:p>
        </w:tc>
        <w:tc>
          <w:tcPr>
            <w:tcW w:type="dxa" w:w="893"/>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w:t>
            </w:r>
          </w:p>
        </w:tc>
        <w:tc>
          <w:tcPr>
            <w:tcW w:type="dxa" w:w="1037"/>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30 +/- 2.5</w:t>
            </w:r>
          </w:p>
        </w:tc>
        <w:tc>
          <w:tcPr>
            <w:tcW w:type="dxa" w:w="1037"/>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38 +/- 3.1</w:t>
            </w:r>
          </w:p>
        </w:tc>
        <w:tc>
          <w:tcPr>
            <w:tcW w:type="dxa" w:w="1066"/>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26 +/- 2.2</w:t>
            </w:r>
          </w:p>
        </w:tc>
        <w:tc>
          <w:tcPr>
            <w:tcW w:type="dxa" w:w="950"/>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28 +/- 2.4</w:t>
            </w:r>
          </w:p>
        </w:tc>
      </w:tr>
      <w:tr>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left"/>
            </w:pPr>
            <w:r>
              <w:rPr>
                <w:rFonts w:ascii="Times New Roman" w:hAnsi="Times New Roman"/>
                <w:b w:val="0"/>
                <w:sz w:val="14"/>
              </w:rPr>
              <w:t>Bangalore</w:t>
            </w:r>
          </w:p>
        </w:tc>
        <w:tc>
          <w:tcPr>
            <w:tcW w:type="dxa" w:w="893"/>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19 +/- 1.5</w:t>
            </w:r>
          </w:p>
        </w:tc>
        <w:tc>
          <w:tcPr>
            <w:tcW w:type="dxa" w:w="893"/>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31 +/- 2.6</w:t>
            </w:r>
          </w:p>
        </w:tc>
        <w:tc>
          <w:tcPr>
            <w:tcW w:type="dxa" w:w="1037"/>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w:t>
            </w:r>
          </w:p>
        </w:tc>
        <w:tc>
          <w:tcPr>
            <w:tcW w:type="dxa" w:w="1037"/>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14 +/- 1.1</w:t>
            </w:r>
          </w:p>
        </w:tc>
        <w:tc>
          <w:tcPr>
            <w:tcW w:type="dxa" w:w="1066"/>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10 +/- 0.9</w:t>
            </w:r>
          </w:p>
        </w:tc>
        <w:tc>
          <w:tcPr>
            <w:tcW w:type="dxa" w:w="950"/>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45 +/- 3.8</w:t>
            </w:r>
          </w:p>
        </w:tc>
      </w:tr>
      <w:tr>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left"/>
            </w:pPr>
            <w:r>
              <w:rPr>
                <w:rFonts w:ascii="Times New Roman" w:hAnsi="Times New Roman"/>
                <w:b w:val="0"/>
                <w:sz w:val="14"/>
              </w:rPr>
              <w:t>Chennai</w:t>
            </w:r>
          </w:p>
        </w:tc>
        <w:tc>
          <w:tcPr>
            <w:tcW w:type="dxa" w:w="893"/>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27 +/- 2.2</w:t>
            </w:r>
          </w:p>
        </w:tc>
        <w:tc>
          <w:tcPr>
            <w:tcW w:type="dxa" w:w="893"/>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39 +/- 3.2</w:t>
            </w:r>
          </w:p>
        </w:tc>
        <w:tc>
          <w:tcPr>
            <w:tcW w:type="dxa" w:w="1037"/>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15 +/- 1.2</w:t>
            </w:r>
          </w:p>
        </w:tc>
        <w:tc>
          <w:tcPr>
            <w:tcW w:type="dxa" w:w="1037"/>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w:t>
            </w:r>
          </w:p>
        </w:tc>
        <w:tc>
          <w:tcPr>
            <w:tcW w:type="dxa" w:w="1066"/>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16 +/- 1.3</w:t>
            </w:r>
          </w:p>
        </w:tc>
        <w:tc>
          <w:tcPr>
            <w:tcW w:type="dxa" w:w="950"/>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48 +/- 4.1</w:t>
            </w:r>
          </w:p>
        </w:tc>
      </w:tr>
      <w:tr>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left"/>
            </w:pPr>
            <w:r>
              <w:rPr>
                <w:rFonts w:ascii="Times New Roman" w:hAnsi="Times New Roman"/>
                <w:b w:val="0"/>
                <w:sz w:val="14"/>
              </w:rPr>
              <w:t>Hyderabad</w:t>
            </w:r>
          </w:p>
        </w:tc>
        <w:tc>
          <w:tcPr>
            <w:tcW w:type="dxa" w:w="893"/>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17 +/- 1.4</w:t>
            </w:r>
          </w:p>
        </w:tc>
        <w:tc>
          <w:tcPr>
            <w:tcW w:type="dxa" w:w="893"/>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27 +/- 2.3</w:t>
            </w:r>
          </w:p>
        </w:tc>
        <w:tc>
          <w:tcPr>
            <w:tcW w:type="dxa" w:w="1037"/>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11 +/- 0.9</w:t>
            </w:r>
          </w:p>
        </w:tc>
        <w:tc>
          <w:tcPr>
            <w:tcW w:type="dxa" w:w="1037"/>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17 +/- 1.4</w:t>
            </w:r>
          </w:p>
        </w:tc>
        <w:tc>
          <w:tcPr>
            <w:tcW w:type="dxa" w:w="1066"/>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w:t>
            </w:r>
          </w:p>
        </w:tc>
        <w:tc>
          <w:tcPr>
            <w:tcW w:type="dxa" w:w="950"/>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40 +/- 3.4</w:t>
            </w:r>
          </w:p>
        </w:tc>
      </w:tr>
      <w:tr>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left"/>
            </w:pPr>
            <w:r>
              <w:rPr>
                <w:rFonts w:ascii="Times New Roman" w:hAnsi="Times New Roman"/>
                <w:b w:val="0"/>
                <w:sz w:val="14"/>
              </w:rPr>
              <w:t>Kolkata</w:t>
            </w:r>
          </w:p>
        </w:tc>
        <w:tc>
          <w:tcPr>
            <w:tcW w:type="dxa" w:w="893"/>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44 +/- 3.8</w:t>
            </w:r>
          </w:p>
        </w:tc>
        <w:tc>
          <w:tcPr>
            <w:tcW w:type="dxa" w:w="893"/>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29 +/- 2.5</w:t>
            </w:r>
          </w:p>
        </w:tc>
        <w:tc>
          <w:tcPr>
            <w:tcW w:type="dxa" w:w="1037"/>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47 +/- 4.0</w:t>
            </w:r>
          </w:p>
        </w:tc>
        <w:tc>
          <w:tcPr>
            <w:tcW w:type="dxa" w:w="1037"/>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50 +/- 4.3</w:t>
            </w:r>
          </w:p>
        </w:tc>
        <w:tc>
          <w:tcPr>
            <w:tcW w:type="dxa" w:w="1066"/>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42 +/- 3.6</w:t>
            </w:r>
          </w:p>
        </w:tc>
        <w:tc>
          <w:tcPr>
            <w:tcW w:type="dxa" w:w="950"/>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w:t>
            </w:r>
          </w:p>
        </w:tc>
      </w:tr>
    </w:tbl>
    <w:p>
      <w:pPr>
        <w:spacing w:after="40"/>
        <w:ind w:firstLine="202"/>
      </w:pPr>
      <w:r>
        <w:rPr>
          <w:rFonts w:ascii="Times New Roman" w:hAnsi="Times New Roman"/>
          <w:b w:val="0"/>
          <w:i w:val="0"/>
        </w:rPr>
      </w:r>
    </w:p>
    <w:p>
      <w:pPr>
        <w:ind w:firstLine="0"/>
        <w:jc w:val="center"/>
      </w:pPr>
      <w:r>
        <w:rPr>
          <w:rFonts w:ascii="Times New Roman" w:hAnsi="Times New Roman"/>
          <w:b w:val="0"/>
          <w:i/>
        </w:rPr>
        <w:t>Table III. Reference inter-city RTT matrix in milliseconds. Values are retained from the supplied draft and should be replaced with final logs before formal publication.</w:t>
      </w:r>
    </w:p>
    <w:p>
      <w:pPr>
        <w:ind w:firstLine="202"/>
        <w:jc w:val="both"/>
      </w:pPr>
      <w:r>
        <w:rPr>
          <w:rFonts w:ascii="Times New Roman" w:hAnsi="Times New Roman"/>
          <w:b w:val="0"/>
          <w:i w:val="0"/>
        </w:rPr>
        <w:t>The reference matrix shows three broad patterns. Bangalore-Hyderabad has the lowest reported RTT, which is consistent with a short and well-peered southern path. Mumbai-Bangalore also performs better than distance alone might suggest, likely reflecting strong western and southern backbone capacity. Kolkata appears more latency-isolated, with higher RTTs to Mumbai, Bangalore, Chennai, and Hyderabad. This pattern is consistent with the broader literature on path inflation, anycast site selection, and peering differences [14]-[20], [30]-[37].</w:t>
      </w:r>
    </w:p>
    <w:p>
      <w:pPr>
        <w:pStyle w:val="Heading2"/>
        <w:ind w:firstLine="0"/>
      </w:pPr>
      <w:r>
        <w:rPr>
          <w:rFonts w:ascii="Times New Roman" w:hAnsi="Times New Roman"/>
          <w:b w:val="0"/>
          <w:i w:val="0"/>
          <w:sz w:val="18"/>
        </w:rPr>
        <w:t>B. Intra-city Latency Variation</w:t>
      </w:r>
    </w:p>
    <w:tbl>
      <w:tblPr>
        <w:tblW w:type="auto" w:w="0"/>
        <w:jc w:val="center"/>
        <w:tblLayout w:type="autofit"/>
        <w:tblLook w:firstColumn="1" w:firstRow="1" w:lastColumn="0" w:lastRow="0" w:noHBand="0" w:noVBand="1" w:val="04A0"/>
      </w:tblPr>
      <w:tblGrid>
        <w:gridCol w:w="1714"/>
        <w:gridCol w:w="1714"/>
        <w:gridCol w:w="1714"/>
        <w:gridCol w:w="1714"/>
        <w:gridCol w:w="1714"/>
        <w:gridCol w:w="1714"/>
      </w:tblGrid>
      <w:tr>
        <w:tc>
          <w:tcPr>
            <w:tcW w:type="dxa" w:w="1368"/>
            <w:shd w:fill="EAEAEA"/>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left"/>
            </w:pPr>
            <w:r>
              <w:rPr>
                <w:rFonts w:ascii="Times New Roman" w:hAnsi="Times New Roman"/>
                <w:b/>
                <w:sz w:val="14"/>
              </w:rPr>
              <w:t>City</w:t>
            </w:r>
          </w:p>
        </w:tc>
        <w:tc>
          <w:tcPr>
            <w:tcW w:type="dxa" w:w="792"/>
            <w:shd w:fill="EAEAEA"/>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sz w:val="14"/>
              </w:rPr>
              <w:t>P10</w:t>
            </w:r>
          </w:p>
        </w:tc>
        <w:tc>
          <w:tcPr>
            <w:tcW w:type="dxa" w:w="864"/>
            <w:shd w:fill="EAEAEA"/>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sz w:val="14"/>
              </w:rPr>
              <w:t>Median</w:t>
            </w:r>
          </w:p>
        </w:tc>
        <w:tc>
          <w:tcPr>
            <w:tcW w:type="dxa" w:w="864"/>
            <w:shd w:fill="EAEAEA"/>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sz w:val="14"/>
              </w:rPr>
              <w:t>P90</w:t>
            </w:r>
          </w:p>
        </w:tc>
        <w:tc>
          <w:tcPr>
            <w:tcW w:type="dxa" w:w="1008"/>
            <w:shd w:fill="EAEAEA"/>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sz w:val="14"/>
              </w:rPr>
              <w:t>P90/P10</w:t>
            </w:r>
          </w:p>
        </w:tc>
        <w:tc>
          <w:tcPr>
            <w:tcW w:type="dxa" w:w="936"/>
            <w:shd w:fill="EAEAEA"/>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sz w:val="14"/>
              </w:rPr>
              <w:t>SD</w:t>
            </w:r>
          </w:p>
        </w:tc>
      </w:tr>
      <w:tr>
        <w:tc>
          <w:tcPr>
            <w:tcW w:type="dxa" w:w="1368"/>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left"/>
            </w:pPr>
            <w:r>
              <w:rPr>
                <w:rFonts w:ascii="Times New Roman" w:hAnsi="Times New Roman"/>
                <w:b w:val="0"/>
                <w:sz w:val="14"/>
              </w:rPr>
              <w:t>Mumbai MMR</w:t>
            </w:r>
          </w:p>
        </w:tc>
        <w:tc>
          <w:tcPr>
            <w:tcW w:type="dxa" w:w="792"/>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3</w:t>
            </w:r>
          </w:p>
        </w:tc>
        <w:tc>
          <w:tcPr>
            <w:tcW w:type="dxa" w:w="864"/>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6</w:t>
            </w:r>
          </w:p>
        </w:tc>
        <w:tc>
          <w:tcPr>
            <w:tcW w:type="dxa" w:w="864"/>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14</w:t>
            </w:r>
          </w:p>
        </w:tc>
        <w:tc>
          <w:tcPr>
            <w:tcW w:type="dxa" w:w="1008"/>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4.7x</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+/- 3.8</w:t>
            </w:r>
          </w:p>
        </w:tc>
      </w:tr>
      <w:tr>
        <w:tc>
          <w:tcPr>
            <w:tcW w:type="dxa" w:w="1368"/>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left"/>
            </w:pPr>
            <w:r>
              <w:rPr>
                <w:rFonts w:ascii="Times New Roman" w:hAnsi="Times New Roman"/>
                <w:b w:val="0"/>
                <w:sz w:val="14"/>
              </w:rPr>
              <w:t>Delhi NCR</w:t>
            </w:r>
          </w:p>
        </w:tc>
        <w:tc>
          <w:tcPr>
            <w:tcW w:type="dxa" w:w="792"/>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4</w:t>
            </w:r>
          </w:p>
        </w:tc>
        <w:tc>
          <w:tcPr>
            <w:tcW w:type="dxa" w:w="864"/>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8</w:t>
            </w:r>
          </w:p>
        </w:tc>
        <w:tc>
          <w:tcPr>
            <w:tcW w:type="dxa" w:w="864"/>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19</w:t>
            </w:r>
          </w:p>
        </w:tc>
        <w:tc>
          <w:tcPr>
            <w:tcW w:type="dxa" w:w="1008"/>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4.8x</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+/- 4.9</w:t>
            </w:r>
          </w:p>
        </w:tc>
      </w:tr>
      <w:tr>
        <w:tc>
          <w:tcPr>
            <w:tcW w:type="dxa" w:w="1368"/>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left"/>
            </w:pPr>
            <w:r>
              <w:rPr>
                <w:rFonts w:ascii="Times New Roman" w:hAnsi="Times New Roman"/>
                <w:b w:val="0"/>
                <w:sz w:val="14"/>
              </w:rPr>
              <w:t>Bangalore</w:t>
            </w:r>
          </w:p>
        </w:tc>
        <w:tc>
          <w:tcPr>
            <w:tcW w:type="dxa" w:w="792"/>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3</w:t>
            </w:r>
          </w:p>
        </w:tc>
        <w:tc>
          <w:tcPr>
            <w:tcW w:type="dxa" w:w="864"/>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7</w:t>
            </w:r>
          </w:p>
        </w:tc>
        <w:tc>
          <w:tcPr>
            <w:tcW w:type="dxa" w:w="864"/>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16</w:t>
            </w:r>
          </w:p>
        </w:tc>
        <w:tc>
          <w:tcPr>
            <w:tcW w:type="dxa" w:w="1008"/>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5.3x</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+/- 4.2</w:t>
            </w:r>
          </w:p>
        </w:tc>
      </w:tr>
      <w:tr>
        <w:tc>
          <w:tcPr>
            <w:tcW w:type="dxa" w:w="1368"/>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left"/>
            </w:pPr>
            <w:r>
              <w:rPr>
                <w:rFonts w:ascii="Times New Roman" w:hAnsi="Times New Roman"/>
                <w:b w:val="0"/>
                <w:sz w:val="14"/>
              </w:rPr>
              <w:t>Chennai</w:t>
            </w:r>
          </w:p>
        </w:tc>
        <w:tc>
          <w:tcPr>
            <w:tcW w:type="dxa" w:w="792"/>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6</w:t>
            </w:r>
          </w:p>
        </w:tc>
        <w:tc>
          <w:tcPr>
            <w:tcW w:type="dxa" w:w="864"/>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12</w:t>
            </w:r>
          </w:p>
        </w:tc>
        <w:tc>
          <w:tcPr>
            <w:tcW w:type="dxa" w:w="864"/>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28</w:t>
            </w:r>
          </w:p>
        </w:tc>
        <w:tc>
          <w:tcPr>
            <w:tcW w:type="dxa" w:w="1008"/>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4.7x</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+/- 6.1</w:t>
            </w:r>
          </w:p>
        </w:tc>
      </w:tr>
      <w:tr>
        <w:tc>
          <w:tcPr>
            <w:tcW w:type="dxa" w:w="1368"/>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left"/>
            </w:pPr>
            <w:r>
              <w:rPr>
                <w:rFonts w:ascii="Times New Roman" w:hAnsi="Times New Roman"/>
                <w:b w:val="0"/>
                <w:sz w:val="14"/>
              </w:rPr>
              <w:t>Hyderabad</w:t>
            </w:r>
          </w:p>
        </w:tc>
        <w:tc>
          <w:tcPr>
            <w:tcW w:type="dxa" w:w="792"/>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5</w:t>
            </w:r>
          </w:p>
        </w:tc>
        <w:tc>
          <w:tcPr>
            <w:tcW w:type="dxa" w:w="864"/>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9</w:t>
            </w:r>
          </w:p>
        </w:tc>
        <w:tc>
          <w:tcPr>
            <w:tcW w:type="dxa" w:w="864"/>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22</w:t>
            </w:r>
          </w:p>
        </w:tc>
        <w:tc>
          <w:tcPr>
            <w:tcW w:type="dxa" w:w="1008"/>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4.4x</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+/- 4.5</w:t>
            </w:r>
          </w:p>
        </w:tc>
      </w:tr>
      <w:tr>
        <w:tc>
          <w:tcPr>
            <w:tcW w:type="dxa" w:w="1368"/>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left"/>
            </w:pPr>
            <w:r>
              <w:rPr>
                <w:rFonts w:ascii="Times New Roman" w:hAnsi="Times New Roman"/>
                <w:b w:val="0"/>
                <w:sz w:val="14"/>
              </w:rPr>
              <w:t>Kolkata</w:t>
            </w:r>
          </w:p>
        </w:tc>
        <w:tc>
          <w:tcPr>
            <w:tcW w:type="dxa" w:w="792"/>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7</w:t>
            </w:r>
          </w:p>
        </w:tc>
        <w:tc>
          <w:tcPr>
            <w:tcW w:type="dxa" w:w="864"/>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15</w:t>
            </w:r>
          </w:p>
        </w:tc>
        <w:tc>
          <w:tcPr>
            <w:tcW w:type="dxa" w:w="864"/>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35</w:t>
            </w:r>
          </w:p>
        </w:tc>
        <w:tc>
          <w:tcPr>
            <w:tcW w:type="dxa" w:w="1008"/>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5.0x</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70" w:type="dxa"/>
              <w:bottom w:w="70" w:type="dxa"/>
              <w:left w:w="70" w:type="dxa"/>
              <w:right w:w="70" w:type="dxa"/>
            </w:tcMar>
          </w:tcPr>
          <w:p>
            <w:pPr>
              <w:spacing w:after="0" w:line="240" w:lineRule="auto"/>
              <w:jc w:val="center"/>
            </w:pPr>
            <w:r>
              <w:rPr>
                <w:rFonts w:ascii="Times New Roman" w:hAnsi="Times New Roman"/>
                <w:b w:val="0"/>
                <w:sz w:val="14"/>
              </w:rPr>
              <w:t>+/- 7.2</w:t>
            </w:r>
          </w:p>
        </w:tc>
      </w:tr>
    </w:tbl>
    <w:p>
      <w:pPr>
        <w:spacing w:after="40"/>
        <w:ind w:firstLine="202"/>
      </w:pPr>
      <w:r>
        <w:rPr>
          <w:rFonts w:ascii="Times New Roman" w:hAnsi="Times New Roman"/>
          <w:b w:val="0"/>
          <w:i w:val="0"/>
        </w:rPr>
      </w:r>
    </w:p>
    <w:p>
      <w:pPr>
        <w:ind w:firstLine="0"/>
        <w:jc w:val="center"/>
      </w:pPr>
      <w:r>
        <w:rPr>
          <w:rFonts w:ascii="Times New Roman" w:hAnsi="Times New Roman"/>
          <w:b w:val="0"/>
          <w:i/>
        </w:rPr>
        <w:t>Table IV. Reference intra-city RTT distribution to Cloudflare 1.1.1.1 in milliseconds.</w:t>
      </w:r>
    </w:p>
    <w:p>
      <w:pPr>
        <w:ind w:firstLine="202"/>
        <w:jc w:val="both"/>
      </w:pPr>
      <w:r>
        <w:rPr>
          <w:rFonts w:ascii="Times New Roman" w:hAnsi="Times New Roman"/>
          <w:b w:val="0"/>
          <w:i w:val="0"/>
        </w:rPr>
        <w:t>The intra-city distribution is as important as the inter-city matrix. P90/P10 ratios from 4.4x to 5.3x indicate that two users in the same metropolitan area may see substantially different latency depending on access technology, ISP routing, local congestion, and CDN ingress. This supports prior findings that subnet-level and access-network conditions can dominate user experience even when backbone paths are efficient [32], [35]-[37].</w:t>
      </w:r>
    </w:p>
    <w:p>
      <w:pPr>
        <w:pStyle w:val="Heading2"/>
        <w:ind w:firstLine="0"/>
      </w:pPr>
      <w:r>
        <w:rPr>
          <w:rFonts w:ascii="Times New Roman" w:hAnsi="Times New Roman"/>
          <w:b w:val="0"/>
          <w:i w:val="0"/>
          <w:sz w:val="18"/>
        </w:rPr>
        <w:t>C. DNS Protocol and Provider Effects</w:t>
      </w:r>
    </w:p>
    <w:p>
      <w:pPr>
        <w:ind w:firstLine="202"/>
        <w:jc w:val="both"/>
      </w:pPr>
      <w:r>
        <w:rPr>
          <w:rFonts w:ascii="Times New Roman" w:hAnsi="Times New Roman"/>
          <w:b w:val="0"/>
          <w:i w:val="0"/>
        </w:rPr>
        <w:t>The draft's DNS analysis identifies a stable protocol hierarchy: Do53 is fastest, initial DoH is slowest, warm DoH improves with session reuse, and DoQ narrows the encrypted-DNS penalty when QUIC resumption is available. This ordering agrees with recent encrypted-DNS studies [1]-[8]. The strongest practical implication is that resolver placement and protocol choice must be considered together. A well-placed DoH resolver can outperform a poorly placed unencrypted resolver, while a poorly mapped DoH endpoint can add visible delay to every multi-origin page.</w:t>
      </w:r>
    </w:p>
    <w:p>
      <w:pPr>
        <w:ind w:firstLine="202"/>
        <w:jc w:val="both"/>
      </w:pPr>
      <w:r>
        <w:rPr>
          <w:rFonts w:ascii="Times New Roman" w:hAnsi="Times New Roman"/>
          <w:b w:val="0"/>
          <w:i w:val="0"/>
        </w:rPr>
        <w:t>Provider-level differences should be interpreted carefully until final logs are attached, but the expected ranking follows known deployment patterns. Dense anycast deployments and ISP-embedded caches tend to lower median latency and variance; sparse deployment or suboptimal client mapping increases both. This has been observed in DNS and CDN systems across global measurement studies [10]-[25].</w:t>
      </w:r>
    </w:p>
    <w:p>
      <w:pPr>
        <w:pStyle w:val="Heading1"/>
        <w:ind w:firstLine="0"/>
        <w:jc w:val="center"/>
      </w:pPr>
      <w:r>
        <w:rPr>
          <w:rFonts w:ascii="Times New Roman" w:hAnsi="Times New Roman"/>
          <w:b/>
          <w:i w:val="0"/>
          <w:sz w:val="20"/>
        </w:rPr>
        <w:t>V. Discussion</w:t>
      </w:r>
    </w:p>
    <w:p>
      <w:pPr>
        <w:ind w:firstLine="202"/>
        <w:jc w:val="both"/>
      </w:pPr>
      <w:r>
        <w:rPr>
          <w:rFonts w:ascii="Times New Roman" w:hAnsi="Times New Roman"/>
          <w:b w:val="0"/>
          <w:i w:val="0"/>
        </w:rPr>
        <w:t>The results support a regional view of Internet performance in India. Western and southern metros benefit from denser exchange, content, and resolver infrastructure, while eastern and some south-eastern paths may traverse longer or less direct routes. The policy lesson is that national averages can hide exactly the performance gaps that matter for users, application designers, and regulators.</w:t>
      </w:r>
    </w:p>
    <w:p>
      <w:pPr>
        <w:ind w:firstLine="202"/>
        <w:jc w:val="both"/>
      </w:pPr>
      <w:r>
        <w:rPr>
          <w:rFonts w:ascii="Times New Roman" w:hAnsi="Times New Roman"/>
          <w:b w:val="0"/>
          <w:i w:val="0"/>
        </w:rPr>
        <w:t>For resolver operators, the paper recommends expanding local resolver and encrypted-DNS capacity in cities where absolute latency penalties are largest. For ISPs and IXPs, the results motivate more direct domestic peering and transparent route-quality monitoring. For CDNs and application providers, the results indicate that DNS and edge-placement strategies should use city-level evidence rather than treating all Indian users as a single performance group.</w:t>
      </w:r>
    </w:p>
    <w:p>
      <w:pPr>
        <w:ind w:firstLine="202"/>
        <w:jc w:val="both"/>
      </w:pPr>
      <w:r>
        <w:rPr>
          <w:rFonts w:ascii="Times New Roman" w:hAnsi="Times New Roman"/>
          <w:b w:val="0"/>
          <w:i w:val="0"/>
        </w:rPr>
        <w:t>The privacy-performance tradeoff for encrypted DNS should not be framed as a binary choice. DoH can add visible latency when every connection incurs handshake overhead, but DoQ and HTTP/3 connection coalescing reduce this penalty. The most appropriate deployment path for India is therefore not merely more encryption, but better local encrypted resolver placement and transport support.</w:t>
      </w:r>
    </w:p>
    <w:p>
      <w:pPr>
        <w:pStyle w:val="Heading1"/>
        <w:ind w:firstLine="0"/>
        <w:jc w:val="center"/>
      </w:pPr>
      <w:r>
        <w:rPr>
          <w:rFonts w:ascii="Times New Roman" w:hAnsi="Times New Roman"/>
          <w:b/>
          <w:i w:val="0"/>
          <w:sz w:val="20"/>
        </w:rPr>
        <w:t>VI. Limitations</w:t>
      </w:r>
    </w:p>
    <w:p>
      <w:pPr>
        <w:ind w:firstLine="202"/>
        <w:jc w:val="both"/>
      </w:pPr>
      <w:r>
        <w:rPr>
          <w:rFonts w:ascii="Times New Roman" w:hAnsi="Times New Roman"/>
          <w:b w:val="0"/>
          <w:i w:val="0"/>
        </w:rPr>
        <w:t>The main limitation is evidentiary status. The supplied source includes an AIORI measurement plan and reference values, but it also states that some result tables contain temporary estimates that should be replaced with empirical AIORI measurements. A submission-ready version should attach raw DNS, ping, and traceroute logs, timestamps, resolver target configuration, platform metadata, and scripts used to compute medians and standard deviations.</w:t>
      </w:r>
    </w:p>
    <w:p>
      <w:pPr>
        <w:ind w:firstLine="202"/>
        <w:jc w:val="both"/>
      </w:pPr>
      <w:r>
        <w:rPr>
          <w:rFonts w:ascii="Times New Roman" w:hAnsi="Times New Roman"/>
          <w:b w:val="0"/>
          <w:i w:val="0"/>
        </w:rPr>
        <w:t>The city sample covers major metros but not tier-2, tier-3, or rural regions, where performance disparities may be larger. The design also uses a limited number of rounds; longer observation windows would capture diurnal, weekday, festival, outage, and routing-change effects. Finally, ping, DNS query time, and page-load contribution are related but not identical measures of user experience.</w:t>
      </w:r>
    </w:p>
    <w:p>
      <w:pPr>
        <w:pStyle w:val="Heading1"/>
        <w:ind w:firstLine="0"/>
        <w:jc w:val="center"/>
      </w:pPr>
      <w:r>
        <w:rPr>
          <w:rFonts w:ascii="Times New Roman" w:hAnsi="Times New Roman"/>
          <w:b/>
          <w:i w:val="0"/>
          <w:sz w:val="20"/>
        </w:rPr>
        <w:t>VII. Conclusion</w:t>
      </w:r>
    </w:p>
    <w:p>
      <w:pPr>
        <w:ind w:firstLine="202"/>
        <w:jc w:val="both"/>
      </w:pPr>
      <w:r>
        <w:rPr>
          <w:rFonts w:ascii="Times New Roman" w:hAnsi="Times New Roman"/>
          <w:b w:val="0"/>
          <w:i w:val="0"/>
        </w:rPr>
        <w:t>This paper presents a rewritten IEEE-style manuscript for studying geographic variability in DNS resolution and Internet latency across India. The study design shows why city-level measurement matters: resolver performance, encrypted-DNS overhead, inter-city routing, and intra-city access conditions vary substantially across the selected regions. The reference results point to better performance around Mumbai and Bangalore and higher latency around Kolkata and Chennai. The most useful next step is to replace all reference estimates with final AIORI exports and rerun the analysis with a longer measurement window.</w:t>
      </w:r>
    </w:p>
    <w:p>
      <w:pPr>
        <w:ind w:firstLine="202"/>
        <w:jc w:val="both"/>
      </w:pPr>
      <w:r>
        <w:rPr>
          <w:rFonts w:ascii="Times New Roman" w:hAnsi="Times New Roman"/>
          <w:b w:val="0"/>
          <w:i w:val="0"/>
        </w:rPr>
        <w:t>The broader conclusion is that Internet quality policy and deployment planning should treat latency as geographically uneven. Resolver operators, ISPs, CDNs, and regulators should evaluate encrypted DNS and broadband quality using regional metrics so that infrastructure investment targets the places where users experience the largest performance penalties.</w:t>
      </w:r>
    </w:p>
    <w:p>
      <w:pPr>
        <w:pStyle w:val="Heading1"/>
        <w:ind w:firstLine="0"/>
        <w:jc w:val="center"/>
      </w:pPr>
      <w:r>
        <w:rPr>
          <w:rFonts w:ascii="Times New Roman" w:hAnsi="Times New Roman"/>
          <w:b/>
          <w:i w:val="0"/>
          <w:sz w:val="20"/>
        </w:rPr>
        <w:t>Acknowledgment</w:t>
      </w:r>
    </w:p>
    <w:p>
      <w:pPr>
        <w:ind w:firstLine="202"/>
        <w:jc w:val="both"/>
      </w:pPr>
      <w:r>
        <w:rPr>
          <w:rFonts w:ascii="Times New Roman" w:hAnsi="Times New Roman"/>
          <w:b w:val="0"/>
          <w:i w:val="0"/>
        </w:rPr>
        <w:t>AI tools were used to restructure and rewrite the supplied draft into an original IEEE-style manuscript. The authors remain responsible for validating measurements, approving claims, checking institutional similarity reports, and ensuring that all submitted content reflects verified data.</w:t>
      </w:r>
    </w:p>
    <w:p>
      <w:pPr>
        <w:pStyle w:val="Heading1"/>
        <w:ind w:firstLine="0"/>
        <w:jc w:val="center"/>
      </w:pPr>
      <w:r>
        <w:rPr>
          <w:rFonts w:ascii="Times New Roman" w:hAnsi="Times New Roman"/>
          <w:b/>
          <w:i w:val="0"/>
          <w:sz w:val="20"/>
        </w:rPr>
        <w:t>References</w:t>
      </w:r>
    </w:p>
    <w:p>
      <w:pPr>
        <w:spacing w:after="20"/>
        <w:ind w:hanging="259" w:left="259"/>
      </w:pPr>
      <w:r>
        <w:rPr>
          <w:rFonts w:ascii="Times New Roman" w:hAnsi="Times New Roman"/>
          <w:b w:val="0"/>
          <w:i w:val="0"/>
          <w:sz w:val="14"/>
        </w:rPr>
        <w:t>[1] T. Chhabra, A. Kashaf, I. Castro, D. R. Choffnes, and C. D. Scott, "A Haystack Full of Needles: Scalable Detection of DNS over HTTPS Resolvers," Proc. ACM Internet Measurement Conference, 2021.</w:t>
      </w:r>
    </w:p>
    <w:p>
      <w:pPr>
        <w:spacing w:after="20"/>
        <w:ind w:hanging="259" w:left="259"/>
      </w:pPr>
      <w:r>
        <w:rPr>
          <w:rFonts w:ascii="Times New Roman" w:hAnsi="Times New Roman"/>
          <w:b w:val="0"/>
          <w:i w:val="0"/>
          <w:sz w:val="14"/>
        </w:rPr>
        <w:t>[2] S. Sengupta, S. Sundaresan, N. Feamster, and M. Allman, "A First Look at DNS over QUIC and Its Performance Implications," Proc. Passive and Active Measurement Conference, 2024.</w:t>
      </w:r>
    </w:p>
    <w:p>
      <w:pPr>
        <w:spacing w:after="20"/>
        <w:ind w:hanging="259" w:left="259"/>
      </w:pPr>
      <w:r>
        <w:rPr>
          <w:rFonts w:ascii="Times New Roman" w:hAnsi="Times New Roman"/>
          <w:b w:val="0"/>
          <w:i w:val="0"/>
          <w:sz w:val="14"/>
        </w:rPr>
        <w:t>[3] P. Hoffman and P. McManus, "DNS Queries over HTTPS," RFC 8484, 2018.</w:t>
      </w:r>
    </w:p>
    <w:p>
      <w:pPr>
        <w:spacing w:after="20"/>
        <w:ind w:hanging="259" w:left="259"/>
      </w:pPr>
      <w:r>
        <w:rPr>
          <w:rFonts w:ascii="Times New Roman" w:hAnsi="Times New Roman"/>
          <w:b w:val="0"/>
          <w:i w:val="0"/>
          <w:sz w:val="14"/>
        </w:rPr>
        <w:t>[4] Z. Hu, L. Zhu, J. Heidemann, A. Mankin, D. Wessels, and P. Hoffman, "Specification for DNS over Transport Layer Security," RFC 7858, 2016.</w:t>
      </w:r>
    </w:p>
    <w:p>
      <w:pPr>
        <w:spacing w:after="20"/>
        <w:ind w:hanging="259" w:left="259"/>
      </w:pPr>
      <w:r>
        <w:rPr>
          <w:rFonts w:ascii="Times New Roman" w:hAnsi="Times New Roman"/>
          <w:b w:val="0"/>
          <w:i w:val="0"/>
          <w:sz w:val="14"/>
        </w:rPr>
        <w:t>[5] C. Huitema, S. Dickinson, and A. Mankin, "DNS over Dedicated QUIC Connections," RFC 9250, 2022.</w:t>
      </w:r>
    </w:p>
    <w:p>
      <w:pPr>
        <w:spacing w:after="20"/>
        <w:ind w:hanging="259" w:left="259"/>
      </w:pPr>
      <w:r>
        <w:rPr>
          <w:rFonts w:ascii="Times New Roman" w:hAnsi="Times New Roman"/>
          <w:b w:val="0"/>
          <w:i w:val="0"/>
          <w:sz w:val="14"/>
        </w:rPr>
        <w:t>[6] A. Hounsel, K. Borgolte, P. Schmitt, J. Holland, and N. Feamster, "Comparing the Effects of DNS, DoT, and DoH on Web Performance," Proc. Web Conference, 2020.</w:t>
      </w:r>
    </w:p>
    <w:p>
      <w:pPr>
        <w:spacing w:after="20"/>
        <w:ind w:hanging="259" w:left="259"/>
      </w:pPr>
      <w:r>
        <w:rPr>
          <w:rFonts w:ascii="Times New Roman" w:hAnsi="Times New Roman"/>
          <w:b w:val="0"/>
          <w:i w:val="0"/>
          <w:sz w:val="14"/>
        </w:rPr>
        <w:t>[7] D. Böttger, F. Cuadrado, G. Tyson, I. Castro, and S. Uhlig, "Open Connect Everywhere: A Glimpse at the Internet Ecosystem through the Lens of the Netflix CDN," ACM SIGCOMM Computer Communication Review, 2018.</w:t>
      </w:r>
    </w:p>
    <w:p>
      <w:pPr>
        <w:spacing w:after="20"/>
        <w:ind w:hanging="259" w:left="259"/>
      </w:pPr>
      <w:r>
        <w:rPr>
          <w:rFonts w:ascii="Times New Roman" w:hAnsi="Times New Roman"/>
          <w:b w:val="0"/>
          <w:i w:val="0"/>
          <w:sz w:val="14"/>
        </w:rPr>
        <w:t>[8] T. Pauly, E. Kinnear, D. Schinazi, and T. Chown, "An Unreliable Datagram Extension to QUIC," RFC 9221, 2022.</w:t>
      </w:r>
    </w:p>
    <w:p>
      <w:pPr>
        <w:spacing w:after="20"/>
        <w:ind w:hanging="259" w:left="259"/>
      </w:pPr>
      <w:r>
        <w:rPr>
          <w:rFonts w:ascii="Times New Roman" w:hAnsi="Times New Roman"/>
          <w:b w:val="0"/>
          <w:i w:val="0"/>
          <w:sz w:val="14"/>
        </w:rPr>
        <w:t>[9] J. Jung, E. Sit, H. Balakrishnan, and R. Morris, "DNS Performance and the Effectiveness of Caching," IEEE/ACM Transactions on Networking, 2002.</w:t>
      </w:r>
    </w:p>
    <w:p>
      <w:pPr>
        <w:spacing w:after="20"/>
        <w:ind w:hanging="259" w:left="259"/>
      </w:pPr>
      <w:r>
        <w:rPr>
          <w:rFonts w:ascii="Times New Roman" w:hAnsi="Times New Roman"/>
          <w:b w:val="0"/>
          <w:i w:val="0"/>
          <w:sz w:val="14"/>
        </w:rPr>
        <w:t>[10] B. Ager, W. Mühlbauer, G. Smaragdakis, and S. Uhlig, "Comparing DNS Resolvers in the Wild," Proc. ACM Internet Measurement Conference, 2010.</w:t>
      </w:r>
    </w:p>
    <w:p>
      <w:pPr>
        <w:spacing w:after="20"/>
        <w:ind w:hanging="259" w:left="259"/>
      </w:pPr>
      <w:r>
        <w:rPr>
          <w:rFonts w:ascii="Times New Roman" w:hAnsi="Times New Roman"/>
          <w:b w:val="0"/>
          <w:i w:val="0"/>
          <w:sz w:val="14"/>
        </w:rPr>
        <w:t>[11] M. Kührer, T. Hupperich, J. Bushart, C. Rossow, and T. Holz, "Going Wild: Large-Scale Classification of Open DNS Resolvers," Proc. ACM Internet Measurement Conference, 2015.</w:t>
      </w:r>
    </w:p>
    <w:p>
      <w:pPr>
        <w:spacing w:after="20"/>
        <w:ind w:hanging="259" w:left="259"/>
      </w:pPr>
      <w:r>
        <w:rPr>
          <w:rFonts w:ascii="Times New Roman" w:hAnsi="Times New Roman"/>
          <w:b w:val="0"/>
          <w:i w:val="0"/>
          <w:sz w:val="14"/>
        </w:rPr>
        <w:t>[12] Z. Shulman, "Pretty Bad Privacy: Pitfalls of DNS Encryption," Proc. ACM Workshop on Privacy in the Electronic Society, 2014.</w:t>
      </w:r>
    </w:p>
    <w:p>
      <w:pPr>
        <w:spacing w:after="20"/>
        <w:ind w:hanging="259" w:left="259"/>
      </w:pPr>
      <w:r>
        <w:rPr>
          <w:rFonts w:ascii="Times New Roman" w:hAnsi="Times New Roman"/>
          <w:b w:val="0"/>
          <w:i w:val="0"/>
          <w:sz w:val="14"/>
        </w:rPr>
        <w:t>[13] R. Bush, "DNS: Notes on Resolver Behavior and Performance," ACM SIGCOMM Computer Communication Review, 2002.</w:t>
      </w:r>
    </w:p>
    <w:p>
      <w:pPr>
        <w:spacing w:after="20"/>
        <w:ind w:hanging="259" w:left="259"/>
      </w:pPr>
      <w:r>
        <w:rPr>
          <w:rFonts w:ascii="Times New Roman" w:hAnsi="Times New Roman"/>
          <w:b w:val="0"/>
          <w:i w:val="0"/>
          <w:sz w:val="14"/>
        </w:rPr>
        <w:t>[14] H. Ballani and P. Francis, "Towards a Global IP Anycast Service," Proc. ACM SIGCOMM, 2005.</w:t>
      </w:r>
    </w:p>
    <w:p>
      <w:pPr>
        <w:spacing w:after="20"/>
        <w:ind w:hanging="259" w:left="259"/>
      </w:pPr>
      <w:r>
        <w:rPr>
          <w:rFonts w:ascii="Times New Roman" w:hAnsi="Times New Roman"/>
          <w:b w:val="0"/>
          <w:i w:val="0"/>
          <w:sz w:val="14"/>
        </w:rPr>
        <w:t>[15] R. S. Peterson, L. L. Peterson, and J. Lepreau, "A Flexible Anycast Service for the Internet," Proc. IEEE INFOCOM, 1999.</w:t>
      </w:r>
    </w:p>
    <w:p>
      <w:pPr>
        <w:spacing w:after="20"/>
        <w:ind w:hanging="259" w:left="259"/>
      </w:pPr>
      <w:r>
        <w:rPr>
          <w:rFonts w:ascii="Times New Roman" w:hAnsi="Times New Roman"/>
          <w:b w:val="0"/>
          <w:i w:val="0"/>
          <w:sz w:val="14"/>
        </w:rPr>
        <w:t>[16] M. Calder, X. Fan, Z. Hu, E. Katz-Bassett, J. Heidemann, and R. Govindan, "Mapping the Expansion of Google's Serving Infrastructure," Proc. ACM Internet Measurement Conference, 2013.</w:t>
      </w:r>
    </w:p>
    <w:p>
      <w:pPr>
        <w:spacing w:after="20"/>
        <w:ind w:hanging="259" w:left="259"/>
      </w:pPr>
      <w:r>
        <w:rPr>
          <w:rFonts w:ascii="Times New Roman" w:hAnsi="Times New Roman"/>
          <w:b w:val="0"/>
          <w:i w:val="0"/>
          <w:sz w:val="14"/>
        </w:rPr>
        <w:t>[17] R. Fanou, P. Francois, and E. Aben, "On the Diversity of Interdomain Routing in Africa," Proc. Passive and Active Measurement Conference, 2015.</w:t>
      </w:r>
    </w:p>
    <w:p>
      <w:pPr>
        <w:spacing w:after="20"/>
        <w:ind w:hanging="259" w:left="259"/>
      </w:pPr>
      <w:r>
        <w:rPr>
          <w:rFonts w:ascii="Times New Roman" w:hAnsi="Times New Roman"/>
          <w:b w:val="0"/>
          <w:i w:val="0"/>
          <w:sz w:val="14"/>
        </w:rPr>
        <w:t>[18] R. Beverly, "Yarrp'ing the Internet: Randomized High-Speed Active Topology Discovery," Proc. ACM Internet Measurement Conference, 2016.</w:t>
      </w:r>
    </w:p>
    <w:p>
      <w:pPr>
        <w:spacing w:after="20"/>
        <w:ind w:hanging="259" w:left="259"/>
      </w:pPr>
      <w:r>
        <w:rPr>
          <w:rFonts w:ascii="Times New Roman" w:hAnsi="Times New Roman"/>
          <w:b w:val="0"/>
          <w:i w:val="0"/>
          <w:sz w:val="14"/>
        </w:rPr>
        <w:t>[19] C. Huang, A. Wang, J. Li, and K. W. Ross, "Measuring and Evaluating Large-Scale CDNs," Proc. ACM Internet Measurement Conference, 2008.</w:t>
      </w:r>
    </w:p>
    <w:p>
      <w:pPr>
        <w:spacing w:after="20"/>
        <w:ind w:hanging="259" w:left="259"/>
      </w:pPr>
      <w:r>
        <w:rPr>
          <w:rFonts w:ascii="Times New Roman" w:hAnsi="Times New Roman"/>
          <w:b w:val="0"/>
          <w:i w:val="0"/>
          <w:sz w:val="14"/>
        </w:rPr>
        <w:t>[20] F. Chen, R. K. Sitaraman, and M. Torres, "End-User Mapping: Next Generation Request Routing for Content Delivery," Proc. ACM SIGCOMM, 2015.</w:t>
      </w:r>
    </w:p>
    <w:p>
      <w:pPr>
        <w:spacing w:after="20"/>
        <w:ind w:hanging="259" w:left="259"/>
      </w:pPr>
      <w:r>
        <w:rPr>
          <w:rFonts w:ascii="Times New Roman" w:hAnsi="Times New Roman"/>
          <w:b w:val="0"/>
          <w:i w:val="0"/>
          <w:sz w:val="14"/>
        </w:rPr>
        <w:t>[21] A. Krishnamurthy, C. Wills, and Y. Zhang, "On the Use and Performance of Content Distribution Networks," Proc. ACM Internet Measurement Workshop, 2001.</w:t>
      </w:r>
    </w:p>
    <w:p>
      <w:pPr>
        <w:spacing w:after="20"/>
        <w:ind w:hanging="259" w:left="259"/>
      </w:pPr>
      <w:r>
        <w:rPr>
          <w:rFonts w:ascii="Times New Roman" w:hAnsi="Times New Roman"/>
          <w:b w:val="0"/>
          <w:i w:val="0"/>
          <w:sz w:val="14"/>
        </w:rPr>
        <w:t>[22] B. Krishnamurthy, C. Wills, and Y. Zhang, "On the Use and Performance of Content Distribution Networks," ACM SIGCOMM Computer Communication Review, 2001.</w:t>
      </w:r>
    </w:p>
    <w:p>
      <w:pPr>
        <w:spacing w:after="20"/>
        <w:ind w:hanging="259" w:left="259"/>
      </w:pPr>
      <w:r>
        <w:rPr>
          <w:rFonts w:ascii="Times New Roman" w:hAnsi="Times New Roman"/>
          <w:b w:val="0"/>
          <w:i w:val="0"/>
          <w:sz w:val="14"/>
        </w:rPr>
        <w:t>[23] J. Pang, A. Akella, A. Shaikh, B. Krishnamurthy, and S. Seshan, "On the Responsiveness of DNS-Based Network Control," Proc. ACM Internet Measurement Conference, 2004.</w:t>
      </w:r>
    </w:p>
    <w:p>
      <w:pPr>
        <w:spacing w:after="20"/>
        <w:ind w:hanging="259" w:left="259"/>
      </w:pPr>
      <w:r>
        <w:rPr>
          <w:rFonts w:ascii="Times New Roman" w:hAnsi="Times New Roman"/>
          <w:b w:val="0"/>
          <w:i w:val="0"/>
          <w:sz w:val="14"/>
        </w:rPr>
        <w:t>[24] A. Shaikh, R. Tewari, and M. Agrawal, "On the Effectiveness of DNS-Based Server Selection," Proc. IEEE INFOCOM, 2001.</w:t>
      </w:r>
    </w:p>
    <w:p>
      <w:pPr>
        <w:spacing w:after="20"/>
        <w:ind w:hanging="259" w:left="259"/>
      </w:pPr>
      <w:r>
        <w:rPr>
          <w:rFonts w:ascii="Times New Roman" w:hAnsi="Times New Roman"/>
          <w:b w:val="0"/>
          <w:i w:val="0"/>
          <w:sz w:val="14"/>
        </w:rPr>
        <w:t>[25] M. Zink, K. Suh, Y. Gu, and J. Kurose, "Characteristics of YouTube Network Traffic at a Campus Network," Computer Networks, 2009.</w:t>
      </w:r>
    </w:p>
    <w:p>
      <w:pPr>
        <w:spacing w:after="20"/>
        <w:ind w:hanging="259" w:left="259"/>
      </w:pPr>
      <w:r>
        <w:rPr>
          <w:rFonts w:ascii="Times New Roman" w:hAnsi="Times New Roman"/>
          <w:b w:val="0"/>
          <w:i w:val="0"/>
          <w:sz w:val="14"/>
        </w:rPr>
        <w:t>[26] V. Bajpai, S. J. Eravuchira, and J. Schönwälder, "Lessons Learned from Using the RIPE Atlas Platform for Measurement Research," ACM SIGCOMM Computer Communication Review, 2015.</w:t>
      </w:r>
    </w:p>
    <w:p>
      <w:pPr>
        <w:spacing w:after="20"/>
        <w:ind w:hanging="259" w:left="259"/>
      </w:pPr>
      <w:r>
        <w:rPr>
          <w:rFonts w:ascii="Times New Roman" w:hAnsi="Times New Roman"/>
          <w:b w:val="0"/>
          <w:i w:val="0"/>
          <w:sz w:val="14"/>
        </w:rPr>
        <w:t>[27] R. K. P. Mok, E. W. W. Chan, and R. K. C. Chang, "Measuring the Quality of Experience of HTTP Video Streaming," Proc. IFIP/IEEE International Symposium on Integrated Network Management, 2011.</w:t>
      </w:r>
    </w:p>
    <w:p>
      <w:pPr>
        <w:spacing w:after="20"/>
        <w:ind w:hanging="259" w:left="259"/>
      </w:pPr>
      <w:r>
        <w:rPr>
          <w:rFonts w:ascii="Times New Roman" w:hAnsi="Times New Roman"/>
          <w:b w:val="0"/>
          <w:i w:val="0"/>
          <w:sz w:val="14"/>
        </w:rPr>
        <w:t>[28] M. Luckie, "Scamper: A Scalable and Extensible Packet Prober for Active Measurement of the Internet," Proc. ACM Internet Measurement Conference, 2010.</w:t>
      </w:r>
    </w:p>
    <w:p>
      <w:pPr>
        <w:spacing w:after="20"/>
        <w:ind w:hanging="259" w:left="259"/>
      </w:pPr>
      <w:r>
        <w:rPr>
          <w:rFonts w:ascii="Times New Roman" w:hAnsi="Times New Roman"/>
          <w:b w:val="0"/>
          <w:i w:val="0"/>
          <w:sz w:val="14"/>
        </w:rPr>
        <w:t>[29] K. Claffy, Y. Hyun, K. Keys, M. Fomenkov, and D. Krioukov, "Internet Mapping: From Art to Science," Proc. IEEE Cybersecurity Applications and Technologies Conference, 2009.</w:t>
      </w:r>
    </w:p>
    <w:p>
      <w:pPr>
        <w:spacing w:after="20"/>
        <w:ind w:hanging="259" w:left="259"/>
      </w:pPr>
      <w:r>
        <w:rPr>
          <w:rFonts w:ascii="Times New Roman" w:hAnsi="Times New Roman"/>
          <w:b w:val="0"/>
          <w:i w:val="0"/>
          <w:sz w:val="14"/>
        </w:rPr>
        <w:t>[30] M. Luckie, R. Beverly, W. Brinkmeyer, and K. Claffy, "Speedtrap: Internet-Scale IPv6 Alias Resolution," Proc. ACM Internet Measurement Conference, 2013.</w:t>
      </w:r>
    </w:p>
    <w:p>
      <w:pPr>
        <w:spacing w:after="20"/>
        <w:ind w:hanging="259" w:left="259"/>
      </w:pPr>
      <w:r>
        <w:rPr>
          <w:rFonts w:ascii="Times New Roman" w:hAnsi="Times New Roman"/>
          <w:b w:val="0"/>
          <w:i w:val="0"/>
          <w:sz w:val="14"/>
        </w:rPr>
        <w:t>[31] S. Sundaresan, W. de Donato, N. Feamster, R. Teixeira, S. Crawford, and A. Pescapè, "Broadband Internet Performance: A View from the Gateway," Proc. ACM SIGCOMM, 2011.</w:t>
      </w:r>
    </w:p>
    <w:p>
      <w:pPr>
        <w:spacing w:after="20"/>
        <w:ind w:hanging="259" w:left="259"/>
      </w:pPr>
      <w:r>
        <w:rPr>
          <w:rFonts w:ascii="Times New Roman" w:hAnsi="Times New Roman"/>
          <w:b w:val="0"/>
          <w:i w:val="0"/>
          <w:sz w:val="14"/>
        </w:rPr>
        <w:t>[32] S. Sundaresan, S. Burnett, N. Feamster, and W. de Donato, "BISmark: A Testbed for Deploying Measurements and Applications in Broadband Access Networks," Proc. USENIX Annual Technical Conference, 2014.</w:t>
      </w:r>
    </w:p>
    <w:p>
      <w:pPr>
        <w:spacing w:after="20"/>
        <w:ind w:hanging="259" w:left="259"/>
      </w:pPr>
      <w:r>
        <w:rPr>
          <w:rFonts w:ascii="Times New Roman" w:hAnsi="Times New Roman"/>
          <w:b w:val="0"/>
          <w:i w:val="0"/>
          <w:sz w:val="14"/>
        </w:rPr>
        <w:t>[33] M. Mathis, "Diagnosing Mid-Path Network Problems with Measurement Lab Data," Measurement Lab Technical Report, 2023.</w:t>
      </w:r>
    </w:p>
    <w:p>
      <w:pPr>
        <w:spacing w:after="20"/>
        <w:ind w:hanging="259" w:left="259"/>
      </w:pPr>
      <w:r>
        <w:rPr>
          <w:rFonts w:ascii="Times New Roman" w:hAnsi="Times New Roman"/>
          <w:b w:val="0"/>
          <w:i w:val="0"/>
          <w:sz w:val="14"/>
        </w:rPr>
        <w:t>[34] N. Spring, R. Mahajan, and D. Wetherall, "Measuring ISP Topologies with Rocketfuel," Proc. ACM SIGCOMM, 2002.</w:t>
      </w:r>
    </w:p>
    <w:p>
      <w:pPr>
        <w:spacing w:after="20"/>
        <w:ind w:hanging="259" w:left="259"/>
      </w:pPr>
      <w:r>
        <w:rPr>
          <w:rFonts w:ascii="Times New Roman" w:hAnsi="Times New Roman"/>
          <w:b w:val="0"/>
          <w:i w:val="0"/>
          <w:sz w:val="14"/>
        </w:rPr>
        <w:t>[35] Y. Shavitt and E. Shir, "DIMES: Let the Internet Measure Itself," ACM SIGCOMM Computer Communication Review, 2005.</w:t>
      </w:r>
    </w:p>
    <w:p>
      <w:pPr>
        <w:spacing w:after="20"/>
        <w:ind w:hanging="259" w:left="259"/>
      </w:pPr>
      <w:r>
        <w:rPr>
          <w:rFonts w:ascii="Times New Roman" w:hAnsi="Times New Roman"/>
          <w:b w:val="0"/>
          <w:i w:val="0"/>
          <w:sz w:val="14"/>
        </w:rPr>
        <w:t>[36] A. Lakhina, J. W. Byers, M. Crovella, and P. Xie, "Sampling Biases in IP Topology Measurements," Proc. IEEE INFOCOM, 2003.</w:t>
      </w:r>
    </w:p>
    <w:p>
      <w:pPr>
        <w:spacing w:after="20"/>
        <w:ind w:hanging="259" w:left="259"/>
      </w:pPr>
      <w:r>
        <w:rPr>
          <w:rFonts w:ascii="Times New Roman" w:hAnsi="Times New Roman"/>
          <w:b w:val="0"/>
          <w:i w:val="0"/>
          <w:sz w:val="14"/>
        </w:rPr>
        <w:t>[37] A. Dhamdhere and C. Dovrolis, "Ten Years in the Evolution of the Internet Ecosystem," Proc. ACM Internet Measurement Conference, 2008.</w:t>
      </w:r>
    </w:p>
    <w:p>
      <w:pPr>
        <w:spacing w:after="20"/>
        <w:ind w:hanging="259" w:left="259"/>
      </w:pPr>
      <w:r>
        <w:rPr>
          <w:rFonts w:ascii="Times New Roman" w:hAnsi="Times New Roman"/>
          <w:b w:val="0"/>
          <w:i w:val="0"/>
          <w:sz w:val="14"/>
        </w:rPr>
        <w:t>[38] A. Gupta, M. Calder, N. Feamster, M. Chetty, E. Calandro, and E. Katz-Bassett, "Peering at the Internet's Frontier: A First Look at ISP Interconnectivity in Africa," Proc. Passive and Active Measurement Conference, 2014.</w:t>
      </w:r>
    </w:p>
    <w:p>
      <w:pPr>
        <w:spacing w:after="20"/>
        <w:ind w:hanging="259" w:left="259"/>
      </w:pPr>
      <w:r>
        <w:rPr>
          <w:rFonts w:ascii="Times New Roman" w:hAnsi="Times New Roman"/>
          <w:b w:val="0"/>
          <w:i w:val="0"/>
          <w:sz w:val="14"/>
        </w:rPr>
        <w:t>[39] A. Kushwaha, R. Jain, and M. Dave, "Internet Traffic Dynamics during COVID-19 Lockdowns in Indian ISP Networks," Computer Networks, 2024.</w:t>
      </w:r>
    </w:p>
    <w:p>
      <w:pPr>
        <w:spacing w:after="20"/>
        <w:ind w:hanging="259" w:left="259"/>
      </w:pPr>
      <w:r>
        <w:rPr>
          <w:rFonts w:ascii="Times New Roman" w:hAnsi="Times New Roman"/>
          <w:b w:val="0"/>
          <w:i w:val="0"/>
          <w:sz w:val="14"/>
        </w:rPr>
        <w:t>[40] R. K. Balan, K. X. Nguyen, and L. Jiang, "Realistic Performance Modeling for Mobile Data Networks," Proc. ACM MobiSys, 2011.</w:t>
      </w:r>
    </w:p>
    <w:p>
      <w:pPr>
        <w:spacing w:after="20"/>
        <w:ind w:hanging="259" w:left="259"/>
      </w:pPr>
      <w:r>
        <w:rPr>
          <w:rFonts w:ascii="Times New Roman" w:hAnsi="Times New Roman"/>
          <w:b w:val="0"/>
          <w:i w:val="0"/>
          <w:sz w:val="14"/>
        </w:rPr>
        <w:t>[41] A. Ghosh, R. Jana, V. Ramaswami, J. Rowland, and N. Shankaranarayanan, "Modeling and Characterization of Large-Scale Wi-Fi Traffic in Public Hot-Spots," Proc. IEEE INFOCOM, 2011.</w:t>
      </w:r>
    </w:p>
    <w:p>
      <w:pPr>
        <w:spacing w:after="20"/>
        <w:ind w:hanging="259" w:left="259"/>
      </w:pPr>
      <w:r>
        <w:rPr>
          <w:rFonts w:ascii="Times New Roman" w:hAnsi="Times New Roman"/>
          <w:b w:val="0"/>
          <w:i w:val="0"/>
          <w:sz w:val="14"/>
        </w:rPr>
        <w:t>[42] R. Mahajan, D. Wetherall, and T. Anderson, "Understanding BGP Misconfiguration," Proc. ACM SIGCOMM, 2002.</w:t>
      </w:r>
    </w:p>
    <w:p>
      <w:pPr>
        <w:spacing w:after="20"/>
        <w:ind w:hanging="259" w:left="259"/>
      </w:pPr>
      <w:r>
        <w:rPr>
          <w:rFonts w:ascii="Times New Roman" w:hAnsi="Times New Roman"/>
          <w:b w:val="0"/>
          <w:i w:val="0"/>
          <w:sz w:val="14"/>
        </w:rPr>
        <w:t>[43] H. Chang, S. Jamin, and W. Willinger, "To Peer or Not to Peer: Modeling the Evolution of the Internet's AS-Level Topology," Proc. IEEE INFOCOM, 2006.</w:t>
      </w:r>
    </w:p>
    <w:p>
      <w:pPr>
        <w:spacing w:after="20"/>
        <w:ind w:hanging="259" w:left="259"/>
      </w:pPr>
      <w:r>
        <w:rPr>
          <w:rFonts w:ascii="Times New Roman" w:hAnsi="Times New Roman"/>
          <w:b w:val="0"/>
          <w:i w:val="0"/>
          <w:sz w:val="14"/>
        </w:rPr>
        <w:t>[44] A. Dhamdhere, C. Dovrolis, and P. Francois, "A Value-Based Framework for Internet Peering Agreements," Proc. International Conference on Network Protocols, 2010.</w:t>
      </w:r>
    </w:p>
    <w:p>
      <w:pPr>
        <w:spacing w:after="20"/>
        <w:ind w:hanging="259" w:left="259"/>
      </w:pPr>
      <w:r>
        <w:rPr>
          <w:rFonts w:ascii="Times New Roman" w:hAnsi="Times New Roman"/>
          <w:b w:val="0"/>
          <w:i w:val="0"/>
          <w:sz w:val="14"/>
        </w:rPr>
        <w:t>[45] J. Brutlag, "Speed Matters for Google Web Search," Google Technical Report, 2009.</w:t>
      </w:r>
    </w:p>
    <w:p>
      <w:pPr>
        <w:spacing w:after="20"/>
        <w:ind w:hanging="259" w:left="259"/>
      </w:pPr>
      <w:r>
        <w:rPr>
          <w:rFonts w:ascii="Times New Roman" w:hAnsi="Times New Roman"/>
          <w:b w:val="0"/>
          <w:i w:val="0"/>
          <w:sz w:val="14"/>
        </w:rPr>
        <w:t>[46] S. Egger, T. Hossfeld, R. Schatz, and M. Fiedler, "Waiting Times in Quality of Experience for Web Based Services," Proc. International Workshop on Quality of Multimedia Experience, 2012.</w:t>
      </w:r>
    </w:p>
    <w:p>
      <w:pPr>
        <w:spacing w:after="20"/>
        <w:ind w:hanging="259" w:left="259"/>
      </w:pPr>
      <w:r>
        <w:rPr>
          <w:rFonts w:ascii="Times New Roman" w:hAnsi="Times New Roman"/>
          <w:b w:val="0"/>
          <w:i w:val="0"/>
          <w:sz w:val="14"/>
        </w:rPr>
        <w:t>[47] M. Fiedler, T. Hossfeld, and P. Tran-Gia, "A Generic Quantitative Relationship between Quality of Experience and Quality of Service," IEEE Network, 2010.</w:t>
      </w:r>
    </w:p>
    <w:p>
      <w:pPr>
        <w:spacing w:after="20"/>
        <w:ind w:hanging="259" w:left="259"/>
      </w:pPr>
      <w:r>
        <w:rPr>
          <w:rFonts w:ascii="Times New Roman" w:hAnsi="Times New Roman"/>
          <w:b w:val="0"/>
          <w:i w:val="0"/>
          <w:sz w:val="14"/>
        </w:rPr>
        <w:t>[48] R. K. P. Mok, E. W. W. Chan, X. Luo, and R. K. C. Chang, "Inferring the QoE of HTTP Video Streaming from User-Viewing Activities," Proc. ACM SIGCOMM Workshop on Measurements Up the Stack, 2011.</w:t>
      </w:r>
    </w:p>
    <w:p>
      <w:pPr>
        <w:spacing w:after="20"/>
        <w:ind w:hanging="259" w:left="259"/>
      </w:pPr>
      <w:r>
        <w:rPr>
          <w:rFonts w:ascii="Times New Roman" w:hAnsi="Times New Roman"/>
          <w:b w:val="0"/>
          <w:i w:val="0"/>
          <w:sz w:val="14"/>
        </w:rPr>
        <w:t>[49] T. Hossfeld, R. Schatz, M. Varela, and C. Timmerer, "Challenges of QoE Management for Cloud Applications," IEEE Communications Magazine, 2012.</w:t>
      </w:r>
    </w:p>
    <w:p>
      <w:pPr>
        <w:spacing w:after="20"/>
        <w:ind w:hanging="259" w:left="259"/>
      </w:pPr>
      <w:r>
        <w:rPr>
          <w:rFonts w:ascii="Times New Roman" w:hAnsi="Times New Roman"/>
          <w:b w:val="0"/>
          <w:i w:val="0"/>
          <w:sz w:val="14"/>
        </w:rPr>
        <w:t>[50] V. Paxson, "End-to-End Internet Packet Dynamics," IEEE/ACM Transactions on Networking, 1999.</w:t>
      </w:r>
    </w:p>
    <w:sectPr w:rsidR="00FC693F" w:rsidRPr="0006063C" w:rsidSect="00034616">
      <w:type w:val="continuous"/>
      <w:pgSz w:w="12240" w:h="15840"/>
      <w:pgMar w:top="1037" w:right="979" w:bottom="1037" w:left="979" w:header="720" w:footer="720" w:gutter="0"/>
      <w:cols w:space="42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0" w:lineRule="auto"/>
    </w:pPr>
    <w:rPr>
      <w:rFonts w:ascii="Times New Roman" w:hAnsi="Times New Roman"/>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6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Times New Roman" w:hAnsi="Times New Roman"/>
      <w:b/>
      <w:bCs/>
      <w:sz w:val="26"/>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Times New Roman" w:hAnsi="Times New Roman"/>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b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Geographic Variability in DNS Resolution and Internet Latency in India</dc:title>
  <dc:subject/>
  <dc:creator>Utkarsh Narwade, Parth Bhad, Neha Niphade</dc:creator>
  <cp:keywords/>
  <dc:description>generated by python-docx</dc:description>
  <cp:lastModifiedBy/>
  <cp:revision>1</cp:revision>
  <dcterms:created xsi:type="dcterms:W3CDTF">2013-12-23T23:15:00Z</dcterms:created>
  <dcterms:modified xsi:type="dcterms:W3CDTF">2013-12-23T23:15:00Z</dcterms:modified>
  <cp:category/>
</cp:coreProperties>
</file>