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Winner of the Emerald Literati Awards 2019 as Highly Commended for “Continuous glucose </w:t>
      </w:r>
      <w:r w:rsidRPr="00376B64">
        <w:rPr>
          <w:rFonts w:ascii="Palatino Linotype" w:eastAsia="Times New Roman" w:hAnsi="Palatino Linotype" w:cs="Times New Roman"/>
          <w:sz w:val="20"/>
        </w:rPr>
        <w:lastRenderedPageBreak/>
        <w:t>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Indian National Academy of Engineering (INAE)</w:t>
      </w:r>
      <w:r w:rsidR="00232FFE" w:rsidRPr="00232FFE">
        <w:rPr>
          <w:rFonts w:ascii="Palatino Linotype" w:eastAsia="Times New Roman" w:hAnsi="Palatino Linotype" w:cs="Times New Roman"/>
          <w:sz w:val="20"/>
        </w:rPr>
        <w:t xml:space="preserv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lastRenderedPageBreak/>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1D02DD19"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7060DB">
        <w:rPr>
          <w:rFonts w:ascii="Palatino Linotype" w:hAnsi="Palatino Linotype" w:cs="Times New Roman"/>
          <w:sz w:val="20"/>
        </w:rPr>
        <w:t>6</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 xml:space="preserve">A Review of </w:t>
      </w:r>
      <w:proofErr w:type="spellStart"/>
      <w:r w:rsidR="00E5598B" w:rsidRPr="00E5598B">
        <w:rPr>
          <w:rFonts w:ascii="Palatino Linotype" w:hAnsi="Palatino Linotype" w:cs="Times New Roman"/>
          <w:bCs/>
          <w:color w:val="auto"/>
          <w:sz w:val="20"/>
        </w:rPr>
        <w:t>TRiSM</w:t>
      </w:r>
      <w:proofErr w:type="spellEnd"/>
      <w:r w:rsidR="00E5598B" w:rsidRPr="00E5598B">
        <w:rPr>
          <w:rFonts w:ascii="Palatino Linotype" w:hAnsi="Palatino Linotype" w:cs="Times New Roman"/>
          <w:bCs/>
          <w:color w:val="auto"/>
          <w:sz w:val="20"/>
        </w:rPr>
        <w:t xml:space="preserve">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proofErr w:type="spellStart"/>
      <w:r w:rsidR="00926A88" w:rsidRPr="00926A88">
        <w:rPr>
          <w:rFonts w:ascii="Palatino Linotype" w:hAnsi="Palatino Linotype" w:cs="Times New Roman"/>
          <w:bCs/>
          <w:color w:val="auto"/>
          <w:sz w:val="20"/>
        </w:rPr>
        <w:t>BenchCouncil</w:t>
      </w:r>
      <w:proofErr w:type="spellEnd"/>
      <w:r w:rsidR="00926A88" w:rsidRPr="00926A88">
        <w:rPr>
          <w:rFonts w:ascii="Palatino Linotype" w:hAnsi="Palatino Linotype" w:cs="Times New Roman"/>
          <w:bCs/>
          <w:color w:val="auto"/>
          <w:sz w:val="20"/>
        </w:rPr>
        <w:t xml:space="preserve">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Brasileira,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lastRenderedPageBreak/>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w:t>
      </w:r>
      <w:r w:rsidRPr="005E31D2">
        <w:rPr>
          <w:rFonts w:ascii="Palatino Linotype" w:hAnsi="Palatino Linotype" w:cs="Times New Roman"/>
          <w:b/>
          <w:color w:val="auto"/>
          <w:sz w:val="20"/>
        </w:rPr>
        <w:lastRenderedPageBreak/>
        <w:t>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lastRenderedPageBreak/>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lastRenderedPageBreak/>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lastRenderedPageBreak/>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lastRenderedPageBreak/>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 xml:space="preserve">Tonni </w:t>
      </w:r>
      <w:proofErr w:type="spellStart"/>
      <w:r w:rsidR="00462AC2" w:rsidRPr="00462AC2">
        <w:rPr>
          <w:rFonts w:ascii="Palatino Linotype" w:hAnsi="Palatino Linotype" w:cs="Calibri"/>
          <w:sz w:val="20"/>
          <w:szCs w:val="18"/>
        </w:rPr>
        <w:t>Agustiono</w:t>
      </w:r>
      <w:proofErr w:type="spellEnd"/>
      <w:r w:rsidR="00462AC2" w:rsidRPr="00462AC2">
        <w:rPr>
          <w:rFonts w:ascii="Palatino Linotype" w:hAnsi="Palatino Linotype" w:cs="Calibri"/>
          <w:sz w:val="20"/>
          <w:szCs w:val="18"/>
        </w:rPr>
        <w:t xml:space="preserve">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w:t>
      </w:r>
      <w:proofErr w:type="spellStart"/>
      <w:r w:rsidR="003D627E" w:rsidRPr="00376B64">
        <w:rPr>
          <w:rFonts w:ascii="Palatino Linotype" w:hAnsi="Palatino Linotype" w:cs="Times New Roman Bold"/>
          <w:spacing w:val="-2"/>
          <w:sz w:val="20"/>
        </w:rPr>
        <w:t>Sunku</w:t>
      </w:r>
      <w:proofErr w:type="spellEnd"/>
      <w:r w:rsidR="003D627E" w:rsidRPr="00376B64">
        <w:rPr>
          <w:rFonts w:ascii="Palatino Linotype" w:hAnsi="Palatino Linotype" w:cs="Times New Roman Bold"/>
          <w:spacing w:val="-2"/>
          <w:sz w:val="20"/>
        </w:rPr>
        <w:t xml:space="preserve">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lastRenderedPageBreak/>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4731CF31"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AC7368" w:rsidRPr="00AC7368">
        <w:rPr>
          <w:rFonts w:ascii="Palatino Linotype" w:eastAsia="Times New Roman" w:hAnsi="Palatino Linotype" w:cs="Times New Roman"/>
          <w:sz w:val="20"/>
        </w:rPr>
        <w:t>Renu Publishers,</w:t>
      </w:r>
      <w:r w:rsidRPr="00376B64">
        <w:rPr>
          <w:rFonts w:ascii="Palatino Linotype" w:eastAsia="Times New Roman" w:hAnsi="Palatino Linotype" w:cs="Times New Roman"/>
          <w:sz w:val="20"/>
        </w:rPr>
        <w:t xml:space="preserve"> ISBN: </w:t>
      </w:r>
      <w:r w:rsidR="00753CD7" w:rsidRPr="00753CD7">
        <w:rPr>
          <w:rFonts w:ascii="Palatino Linotype" w:eastAsia="Times New Roman" w:hAnsi="Palatino Linotype" w:cs="Times New Roman"/>
          <w:sz w:val="20"/>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 xml:space="preserve">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lastRenderedPageBreak/>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 xml:space="preserve">Mayel Lyangten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Priyam Gogoi, Ridhiman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 xml:space="preserve">Bhaskar Jyoti Saikia,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8194E7B" w14:textId="77777777" w:rsidR="006949DE" w:rsidRPr="00376B64" w:rsidRDefault="006949DE" w:rsidP="006949DE">
      <w:pPr>
        <w:widowControl w:val="0"/>
        <w:spacing w:after="0" w:line="100" w:lineRule="atLeast"/>
        <w:rPr>
          <w:rFonts w:ascii="Palatino Linotype" w:hAnsi="Palatino Linotype"/>
        </w:rPr>
      </w:pPr>
    </w:p>
    <w:p w14:paraId="5DE49993"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376B64">
        <w:rPr>
          <w:rFonts w:ascii="Palatino Linotype" w:eastAsia="Times New Roman" w:hAnsi="Palatino Linotype" w:cs="Times New Roman"/>
          <w:sz w:val="20"/>
        </w:rPr>
        <w:lastRenderedPageBreak/>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E904E5">
        <w:rPr>
          <w:rFonts w:ascii="Palatino Linotype" w:eastAsia="Times New Roman" w:hAnsi="Palatino Linotype" w:cs="Times New Roman"/>
          <w:sz w:val="20"/>
        </w:rPr>
        <w:t>Internet of AI Things (</w:t>
      </w:r>
      <w:proofErr w:type="spellStart"/>
      <w:r w:rsidRPr="00E904E5">
        <w:rPr>
          <w:rFonts w:ascii="Palatino Linotype" w:eastAsia="Times New Roman" w:hAnsi="Palatino Linotype" w:cs="Times New Roman"/>
          <w:sz w:val="20"/>
        </w:rPr>
        <w:t>IoAT</w:t>
      </w:r>
      <w:proofErr w:type="spellEnd"/>
      <w:r w:rsidRPr="00E904E5">
        <w:rPr>
          <w:rFonts w:ascii="Palatino Linotype" w:eastAsia="Times New Roman" w:hAnsi="Palatino Linotype" w:cs="Times New Roman"/>
          <w:sz w:val="20"/>
        </w:rPr>
        <w:t>): Mathematical Foundations, Edge Intelligence, and Computational Paradigms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at </w:t>
      </w:r>
      <w:r w:rsidRPr="00980FB5">
        <w:rPr>
          <w:rFonts w:ascii="Palatino Linotype" w:eastAsia="Times New Roman" w:hAnsi="Palatino Linotype" w:cs="Times New Roman"/>
          <w:sz w:val="20"/>
        </w:rPr>
        <w:t>International Conference on Mathematical Sciences and Computational Intelligence (ICMSCI-2026)</w:t>
      </w:r>
      <w:r w:rsidRPr="00376B64">
        <w:rPr>
          <w:rFonts w:ascii="Palatino Linotype" w:eastAsia="Times New Roman" w:hAnsi="Palatino Linotype" w:cs="Times New Roman"/>
          <w:sz w:val="20"/>
        </w:rPr>
        <w:t xml:space="preserve">, </w:t>
      </w:r>
      <w:r w:rsidRPr="00CA0BB7">
        <w:rPr>
          <w:rFonts w:ascii="Palatino Linotype" w:eastAsia="Times New Roman" w:hAnsi="Palatino Linotype" w:cs="Times New Roman"/>
          <w:sz w:val="20"/>
        </w:rPr>
        <w:t>February 20–22, 2026</w:t>
      </w:r>
      <w:r>
        <w:rPr>
          <w:rFonts w:ascii="Palatino Linotype" w:eastAsia="Times New Roman" w:hAnsi="Palatino Linotype" w:cs="Times New Roman"/>
          <w:sz w:val="20"/>
        </w:rPr>
        <w:t xml:space="preserve">, </w:t>
      </w:r>
      <w:r w:rsidRPr="00EE2535">
        <w:rPr>
          <w:rFonts w:ascii="Palatino Linotype" w:eastAsia="Times New Roman" w:hAnsi="Palatino Linotype" w:cs="Times New Roman"/>
          <w:sz w:val="20"/>
        </w:rPr>
        <w:t>Department of Mathematics</w:t>
      </w:r>
      <w:r>
        <w:rPr>
          <w:rFonts w:ascii="Palatino Linotype" w:eastAsia="Times New Roman" w:hAnsi="Palatino Linotype" w:cs="Times New Roman"/>
          <w:sz w:val="20"/>
        </w:rPr>
        <w:t xml:space="preserve">, </w:t>
      </w:r>
      <w:r w:rsidRPr="00756B48">
        <w:rPr>
          <w:rFonts w:ascii="Palatino Linotype" w:eastAsia="Times New Roman" w:hAnsi="Palatino Linotype" w:cs="Times New Roman"/>
          <w:sz w:val="20"/>
        </w:rPr>
        <w:t>P.G.D.A.V. College, University of Delhi</w:t>
      </w:r>
      <w:r w:rsidRPr="00376B64">
        <w:rPr>
          <w:rFonts w:ascii="Palatino Linotype" w:eastAsia="Times New Roman" w:hAnsi="Palatino Linotype" w:cs="Times New Roman"/>
          <w:sz w:val="20"/>
        </w:rPr>
        <w:t>.</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Frontiers co-edited by Rahula Singh Jasrotia, Wei Lan, Lihong Peng, and Manor </w:t>
      </w:r>
      <w:proofErr w:type="spellStart"/>
      <w:r>
        <w:rPr>
          <w:rFonts w:ascii="Palatino Linotype" w:eastAsia="Times New Roman" w:hAnsi="Palatino Linotype" w:cs="Times New Roman"/>
          <w:sz w:val="20"/>
        </w:rPr>
        <w:t>Kandpal</w:t>
      </w:r>
      <w:proofErr w:type="spellEnd"/>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on “Innovations in Embedded Lightweight Machine Learning Models: Enabling </w:t>
      </w:r>
      <w:proofErr w:type="spellStart"/>
      <w:r w:rsidRPr="00376B64">
        <w:rPr>
          <w:rFonts w:ascii="Palatino Linotype" w:eastAsia="Times New Roman" w:hAnsi="Palatino Linotype" w:cs="Times New Roman"/>
          <w:sz w:val="20"/>
        </w:rPr>
        <w:t>TinyML</w:t>
      </w:r>
      <w:proofErr w:type="spellEnd"/>
      <w:r w:rsidRPr="00376B64">
        <w:rPr>
          <w:rFonts w:ascii="Palatino Linotype" w:eastAsia="Times New Roman" w:hAnsi="Palatino Linotype" w:cs="Times New Roman"/>
          <w:sz w:val="20"/>
        </w:rPr>
        <w:t xml:space="preserve">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Edward Island Canada, SC. Karolj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lastRenderedPageBreak/>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sz w:val="20"/>
        </w:rPr>
        <w:t>Mylavaram</w:t>
      </w:r>
      <w:proofErr w:type="spellEnd"/>
      <w:r w:rsidRPr="00376B64">
        <w:rPr>
          <w:rFonts w:ascii="Palatino Linotype" w:eastAsia="Times New Roman" w:hAnsi="Palatino Linotype" w:cs="Times"/>
          <w:sz w:val="20"/>
        </w:rPr>
        <w:t>,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w:t>
      </w:r>
      <w:proofErr w:type="spellStart"/>
      <w:r w:rsidR="00FA448F" w:rsidRPr="00FA448F">
        <w:rPr>
          <w:rFonts w:ascii="Palatino Linotype" w:eastAsia="Times New Roman" w:hAnsi="Palatino Linotype" w:cs="Times New Roman"/>
          <w:sz w:val="20"/>
        </w:rPr>
        <w:t>Meloneras</w:t>
      </w:r>
      <w:proofErr w:type="spellEnd"/>
      <w:r w:rsidR="00FA448F" w:rsidRPr="00FA448F">
        <w:rPr>
          <w:rFonts w:ascii="Palatino Linotype" w:eastAsia="Times New Roman" w:hAnsi="Palatino Linotype" w:cs="Times New Roman"/>
          <w:sz w:val="20"/>
        </w:rPr>
        <w:t>),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The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Cube,  </w:t>
      </w:r>
      <w:proofErr w:type="spellStart"/>
      <w:r w:rsidRPr="00376B64">
        <w:rPr>
          <w:rFonts w:ascii="Palatino Linotype" w:eastAsia="Times New Roman" w:hAnsi="Palatino Linotype" w:cs="Times"/>
          <w:sz w:val="20"/>
        </w:rPr>
        <w:t>MEsse</w:t>
      </w:r>
      <w:proofErr w:type="spell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IEEE/WIC/ACM International Conference on Web </w:t>
      </w:r>
      <w:r w:rsidRPr="00376B64">
        <w:rPr>
          <w:rFonts w:ascii="Palatino Linotype" w:eastAsia="Times New Roman" w:hAnsi="Palatino Linotype" w:cs="Times"/>
          <w:i/>
          <w:iCs/>
          <w:sz w:val="20"/>
        </w:rPr>
        <w:lastRenderedPageBreak/>
        <w:t>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 xml:space="preserve">from 15-17 November, </w:t>
      </w:r>
      <w:proofErr w:type="spellStart"/>
      <w:r w:rsidRPr="00376B64">
        <w:rPr>
          <w:rFonts w:ascii="Palatino Linotype" w:eastAsia="Times New Roman" w:hAnsi="Palatino Linotype" w:cs="Times"/>
          <w:sz w:val="20"/>
        </w:rPr>
        <w:t>Waknaghat</w:t>
      </w:r>
      <w:proofErr w:type="spellEnd"/>
      <w:r w:rsidRPr="00376B64">
        <w:rPr>
          <w:rFonts w:ascii="Palatino Linotype" w:eastAsia="Times New Roman" w:hAnsi="Palatino Linotype" w:cs="Times"/>
          <w:sz w:val="20"/>
        </w:rPr>
        <w: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xml:space="preserve">, from 16 – 17 November, </w:t>
      </w:r>
      <w:proofErr w:type="spellStart"/>
      <w:r w:rsidRPr="00376B64">
        <w:rPr>
          <w:rFonts w:ascii="Palatino Linotype" w:eastAsia="Times New Roman" w:hAnsi="Palatino Linotype" w:cs="Times New Roman"/>
          <w:sz w:val="20"/>
        </w:rPr>
        <w:t>Anekal</w:t>
      </w:r>
      <w:proofErr w:type="spellEnd"/>
      <w:r w:rsidRPr="00376B64">
        <w:rPr>
          <w:rFonts w:ascii="Palatino Linotype" w:eastAsia="Times New Roman" w:hAnsi="Palatino Linotype" w:cs="Times New Roman"/>
          <w:sz w:val="20"/>
        </w:rPr>
        <w:t>,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 xml:space="preserve">International Conference on Internet of Things and Machine </w:t>
      </w:r>
      <w:r w:rsidRPr="00376B64">
        <w:rPr>
          <w:rFonts w:ascii="Palatino Linotype" w:eastAsia="Times New Roman" w:hAnsi="Palatino Linotype" w:cs="Times New Roman"/>
          <w:i/>
          <w:sz w:val="20"/>
        </w:rPr>
        <w:lastRenderedPageBreak/>
        <w:t>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 xml:space="preserve">committee of NETRA lab of </w:t>
      </w:r>
      <w:r w:rsidRPr="00376B64">
        <w:rPr>
          <w:rFonts w:ascii="Palatino Linotype" w:eastAsia="Times New Roman" w:hAnsi="Palatino Linotype" w:cs="Times New Roman"/>
          <w:sz w:val="20"/>
        </w:rPr>
        <w:lastRenderedPageBreak/>
        <w:t>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r w:rsidRPr="00376B64">
        <w:rPr>
          <w:rFonts w:ascii="Palatino Linotype" w:eastAsia="Times New Roman" w:hAnsi="Palatino Linotype" w:cs="Times New Roman"/>
          <w:b/>
          <w:sz w:val="20"/>
        </w:rPr>
        <w:t>B.Voc</w:t>
      </w:r>
      <w:proofErr w:type="spell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r w:rsidRPr="00376B64">
        <w:rPr>
          <w:rFonts w:ascii="Palatino Linotype" w:eastAsia="Times New Roman" w:hAnsi="Palatino Linotype" w:cs="Times New Roman"/>
          <w:sz w:val="20"/>
        </w:rPr>
        <w:t>B.Voc</w:t>
      </w:r>
      <w:proofErr w:type="spell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 xml:space="preserve">Nominated by the Vice Chancellor of Sikkim University as the member of NAAC Criteria Search Committee to search the Infrastructure and </w:t>
      </w:r>
      <w:r w:rsidRPr="00376B64">
        <w:rPr>
          <w:rFonts w:ascii="Palatino Linotype" w:eastAsia="Times New Roman" w:hAnsi="Palatino Linotype" w:cs="Times New Roman"/>
          <w:sz w:val="20"/>
        </w:rPr>
        <w:lastRenderedPageBreak/>
        <w:t>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lastRenderedPageBreak/>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CD27C" w14:textId="77777777" w:rsidR="00C03A56" w:rsidRDefault="00C03A56">
      <w:pPr>
        <w:spacing w:after="0" w:line="240" w:lineRule="auto"/>
      </w:pPr>
      <w:r>
        <w:separator/>
      </w:r>
    </w:p>
  </w:endnote>
  <w:endnote w:type="continuationSeparator" w:id="0">
    <w:p w14:paraId="0B10E814" w14:textId="77777777" w:rsidR="00C03A56" w:rsidRDefault="00C03A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9E44" w14:textId="77777777" w:rsidR="00C03A56" w:rsidRDefault="00C03A56">
      <w:pPr>
        <w:spacing w:after="0" w:line="240" w:lineRule="auto"/>
      </w:pPr>
      <w:r>
        <w:separator/>
      </w:r>
    </w:p>
  </w:footnote>
  <w:footnote w:type="continuationSeparator" w:id="0">
    <w:p w14:paraId="44BBCE69" w14:textId="77777777" w:rsidR="00C03A56" w:rsidRDefault="00C03A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8A7"/>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653</TotalTime>
  <Pages>37</Pages>
  <Words>14535</Words>
  <Characters>82856</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97197</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1661</cp:revision>
  <cp:lastPrinted>2025-12-22T06:36:00Z</cp:lastPrinted>
  <dcterms:created xsi:type="dcterms:W3CDTF">2024-11-20T16:26:00Z</dcterms:created>
  <dcterms:modified xsi:type="dcterms:W3CDTF">2026-01-16T05:19:00Z</dcterms:modified>
</cp:coreProperties>
</file>