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7264DD9B" w14:textId="1A726C85"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lastRenderedPageBreak/>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56C4DD68"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5E31D2">
        <w:rPr>
          <w:rFonts w:ascii="Palatino Linotype" w:hAnsi="Palatino Linotype" w:cs="Times New Roman"/>
          <w:sz w:val="20"/>
        </w:rPr>
        <w:t>1</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551F4F9F"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0826DE">
        <w:rPr>
          <w:rFonts w:ascii="Palatino Linotype" w:hAnsi="Palatino Linotype" w:cs="Times New Roman"/>
          <w:sz w:val="20"/>
        </w:rPr>
        <w:t>4</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562A08DE"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r w:rsidR="00550C65" w:rsidRPr="005E31D2">
        <w:rPr>
          <w:rFonts w:ascii="Palatino Linotype" w:hAnsi="Palatino Linotype" w:cs="Times New Roman"/>
          <w:b/>
          <w:color w:val="auto"/>
          <w:sz w:val="20"/>
        </w:rPr>
        <w:t xml:space="preserve"> [Accepted]</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w:t>
      </w:r>
      <w:r w:rsidRPr="005E31D2">
        <w:rPr>
          <w:rFonts w:ascii="Palatino Linotype" w:eastAsia="Times New Roman" w:hAnsi="Palatino Linotype" w:cs="Times New Roman"/>
          <w:color w:val="auto"/>
          <w:sz w:val="20"/>
        </w:rPr>
        <w:lastRenderedPageBreak/>
        <w:t xml:space="preserve">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The Potential of ChatGPT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w:t>
      </w:r>
      <w:r w:rsidRPr="005E31D2">
        <w:rPr>
          <w:rFonts w:ascii="Palatino Linotype" w:eastAsia="Times New Roman" w:hAnsi="Palatino Linotype" w:cs="Times New Roman"/>
          <w:color w:val="auto"/>
          <w:sz w:val="20"/>
        </w:rPr>
        <w:lastRenderedPageBreak/>
        <w:t xml:space="preserve">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7C25437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IEEE IoT Journal,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2344C833"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940F8E" w:rsidRPr="00376B64">
        <w:rPr>
          <w:rFonts w:ascii="Palatino Linotype" w:hAnsi="Palatino Linotype"/>
        </w:rPr>
        <w:t>2</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70416517" w14:textId="7DDE1705"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LLMEdge: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 xml:space="preserve">International </w:t>
      </w:r>
      <w:r w:rsidR="00CD016E" w:rsidRPr="00376B64">
        <w:rPr>
          <w:rFonts w:ascii="Palatino Linotype" w:eastAsia="Times New Roman" w:hAnsi="Palatino Linotype" w:cs="Times New Roman"/>
          <w:i/>
          <w:iCs/>
          <w:sz w:val="20"/>
        </w:rPr>
        <w:lastRenderedPageBreak/>
        <w:t>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 xml:space="preserve">DOI: </w:t>
      </w:r>
      <w:r w:rsidRPr="00376B64">
        <w:rPr>
          <w:rFonts w:ascii="Palatino Linotype" w:eastAsia="Times New Roman" w:hAnsi="Palatino Linotype" w:cs="Times"/>
          <w:sz w:val="20"/>
        </w:rPr>
        <w:lastRenderedPageBreak/>
        <w:t>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 xml:space="preserve">IEEE International Conference </w:t>
      </w:r>
      <w:r w:rsidRPr="00376B64">
        <w:rPr>
          <w:rFonts w:ascii="Palatino Linotype" w:eastAsia="Times New Roman" w:hAnsi="Palatino Linotype" w:cs="Times New Roman"/>
          <w:i/>
          <w:sz w:val="20"/>
        </w:rPr>
        <w:lastRenderedPageBreak/>
        <w:t>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01592FC" w14:textId="5C93CE10" w:rsidR="00890894" w:rsidRPr="00376B64" w:rsidRDefault="00890894">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w:t>
      </w:r>
      <w:r w:rsidR="00754EB2" w:rsidRPr="00376B64">
        <w:rPr>
          <w:rFonts w:ascii="Palatino Linotype" w:hAnsi="Palatino Linotype" w:cs="Calibri"/>
          <w:sz w:val="20"/>
          <w:szCs w:val="18"/>
        </w:rPr>
        <w:t>Blockchain and Digital Twin for Smart Hospitals</w:t>
      </w:r>
      <w:r w:rsidRPr="00376B64">
        <w:rPr>
          <w:rFonts w:ascii="Palatino Linotype" w:hAnsi="Palatino Linotype" w:cs="Calibri"/>
          <w:sz w:val="20"/>
          <w:szCs w:val="18"/>
        </w:rPr>
        <w:t xml:space="preserve">, Elsevier, </w:t>
      </w:r>
      <w:r w:rsidR="00AE2624" w:rsidRPr="00376B64">
        <w:rPr>
          <w:rFonts w:ascii="Palatino Linotype" w:hAnsi="Palatino Linotype" w:cs="Calibri"/>
          <w:sz w:val="20"/>
          <w:szCs w:val="18"/>
        </w:rPr>
        <w:t xml:space="preserve">pp. 377-397, </w:t>
      </w:r>
      <w:r w:rsidRPr="00376B64">
        <w:rPr>
          <w:rFonts w:ascii="Palatino Linotype" w:hAnsi="Palatino Linotype" w:cs="Calibri"/>
          <w:sz w:val="20"/>
          <w:szCs w:val="18"/>
        </w:rPr>
        <w:t xml:space="preserve">Eds (Tuan Anh Nguyen), 2025, ISBN: </w:t>
      </w:r>
      <w:r w:rsidR="00F15B7E" w:rsidRPr="00376B64">
        <w:rPr>
          <w:rFonts w:ascii="Palatino Linotype" w:hAnsi="Palatino Linotype" w:cs="Calibri"/>
          <w:sz w:val="20"/>
          <w:szCs w:val="18"/>
        </w:rPr>
        <w:t>978-0-443-34226-4</w:t>
      </w:r>
      <w:r w:rsidR="001105FC">
        <w:rPr>
          <w:rFonts w:ascii="Palatino Linotype" w:hAnsi="Palatino Linotype" w:cs="Calibri"/>
          <w:sz w:val="20"/>
          <w:szCs w:val="18"/>
        </w:rPr>
        <w:t>, DOI:</w:t>
      </w:r>
      <w:r w:rsidR="001105FC" w:rsidRPr="001105FC">
        <w:t xml:space="preserve"> </w:t>
      </w:r>
      <w:r w:rsidR="001105FC"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lastRenderedPageBreak/>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 xml:space="preserve">n, R. </w:t>
      </w:r>
      <w:r w:rsidR="00CB1CA2" w:rsidRPr="00376B64">
        <w:rPr>
          <w:rFonts w:ascii="Palatino Linotype" w:hAnsi="Palatino Linotype" w:cs="Times New Roman"/>
          <w:sz w:val="20"/>
        </w:rPr>
        <w:lastRenderedPageBreak/>
        <w:t>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co-located with The The 12th International Conference on 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w:t>
      </w:r>
      <w:r w:rsidRPr="00376B64">
        <w:rPr>
          <w:rFonts w:ascii="Palatino Linotype" w:eastAsia="Times New Roman" w:hAnsi="Palatino Linotype" w:cs="Times"/>
          <w:i/>
          <w:iCs/>
          <w:sz w:val="20"/>
        </w:rPr>
        <w:lastRenderedPageBreak/>
        <w:t xml:space="preserve">(GEM)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w:t>
      </w:r>
      <w:r w:rsidRPr="00376B64">
        <w:rPr>
          <w:rFonts w:ascii="Palatino Linotype" w:eastAsia="Times New Roman" w:hAnsi="Palatino Linotype" w:cs="Times"/>
          <w:i/>
          <w:sz w:val="20"/>
        </w:rPr>
        <w:lastRenderedPageBreak/>
        <w:t xml:space="preserve">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“Innovations in Embedded Lightweight Machine Learning Models: Enabling 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lastRenderedPageBreak/>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1B30D08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IEEE IoT Journal,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lastRenderedPageBreak/>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w:t>
      </w:r>
      <w:r w:rsidRPr="00376B64">
        <w:rPr>
          <w:rFonts w:ascii="Palatino Linotype" w:eastAsia="Times New Roman" w:hAnsi="Palatino Linotype" w:cs="Times New Roman"/>
          <w:sz w:val="20"/>
        </w:rPr>
        <w:lastRenderedPageBreak/>
        <w:t>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w:t>
      </w:r>
      <w:r w:rsidRPr="00376B64">
        <w:rPr>
          <w:rFonts w:ascii="Palatino Linotype" w:eastAsia="Times New Roman" w:hAnsi="Palatino Linotype" w:cs="Times New Roman"/>
          <w:sz w:val="20"/>
        </w:rPr>
        <w:lastRenderedPageBreak/>
        <w:t xml:space="preserve">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lastRenderedPageBreak/>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0829" w14:textId="77777777" w:rsidR="009C7ED8" w:rsidRDefault="009C7ED8">
      <w:pPr>
        <w:spacing w:after="0" w:line="240" w:lineRule="auto"/>
      </w:pPr>
      <w:r>
        <w:separator/>
      </w:r>
    </w:p>
  </w:endnote>
  <w:endnote w:type="continuationSeparator" w:id="0">
    <w:p w14:paraId="56BE5D69" w14:textId="77777777" w:rsidR="009C7ED8" w:rsidRDefault="009C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DA31" w14:textId="77777777" w:rsidR="009C7ED8" w:rsidRDefault="009C7ED8">
      <w:pPr>
        <w:spacing w:after="0" w:line="240" w:lineRule="auto"/>
      </w:pPr>
      <w:r>
        <w:separator/>
      </w:r>
    </w:p>
  </w:footnote>
  <w:footnote w:type="continuationSeparator" w:id="0">
    <w:p w14:paraId="3C7F0B70" w14:textId="77777777" w:rsidR="009C7ED8" w:rsidRDefault="009C7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DBA"/>
    <w:rsid w:val="00107085"/>
    <w:rsid w:val="00107838"/>
    <w:rsid w:val="00107F5C"/>
    <w:rsid w:val="001102B3"/>
    <w:rsid w:val="001105FC"/>
    <w:rsid w:val="0011072D"/>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1F81"/>
    <w:rsid w:val="0029214B"/>
    <w:rsid w:val="00293D59"/>
    <w:rsid w:val="00293E69"/>
    <w:rsid w:val="002945DF"/>
    <w:rsid w:val="002948D8"/>
    <w:rsid w:val="00294C5A"/>
    <w:rsid w:val="00294DE3"/>
    <w:rsid w:val="002953BD"/>
    <w:rsid w:val="0029570B"/>
    <w:rsid w:val="0029665F"/>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888"/>
    <w:rsid w:val="003E1B23"/>
    <w:rsid w:val="003E2352"/>
    <w:rsid w:val="003E24D0"/>
    <w:rsid w:val="003E29AB"/>
    <w:rsid w:val="003E2D90"/>
    <w:rsid w:val="003E3D7C"/>
    <w:rsid w:val="003E4093"/>
    <w:rsid w:val="003E46DE"/>
    <w:rsid w:val="003E4ACE"/>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F3B"/>
    <w:rsid w:val="0047668F"/>
    <w:rsid w:val="0047696D"/>
    <w:rsid w:val="00476E74"/>
    <w:rsid w:val="00477797"/>
    <w:rsid w:val="00477CCA"/>
    <w:rsid w:val="004803D8"/>
    <w:rsid w:val="00480436"/>
    <w:rsid w:val="00480C24"/>
    <w:rsid w:val="004810F1"/>
    <w:rsid w:val="00481A86"/>
    <w:rsid w:val="00481BF5"/>
    <w:rsid w:val="00481DF8"/>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60C1"/>
    <w:rsid w:val="006168AD"/>
    <w:rsid w:val="00616D11"/>
    <w:rsid w:val="00616D4D"/>
    <w:rsid w:val="0061703C"/>
    <w:rsid w:val="0061734B"/>
    <w:rsid w:val="0061775D"/>
    <w:rsid w:val="00617E0D"/>
    <w:rsid w:val="00620512"/>
    <w:rsid w:val="00620816"/>
    <w:rsid w:val="00620A2D"/>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88A"/>
    <w:rsid w:val="00705F44"/>
    <w:rsid w:val="00707546"/>
    <w:rsid w:val="00707668"/>
    <w:rsid w:val="00707BA0"/>
    <w:rsid w:val="0071046B"/>
    <w:rsid w:val="00711288"/>
    <w:rsid w:val="00711B15"/>
    <w:rsid w:val="00711C56"/>
    <w:rsid w:val="007120E8"/>
    <w:rsid w:val="0071263D"/>
    <w:rsid w:val="007134B3"/>
    <w:rsid w:val="007135B7"/>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D4"/>
    <w:rsid w:val="009C0FB0"/>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B6E"/>
    <w:rsid w:val="00C04C2C"/>
    <w:rsid w:val="00C04CC1"/>
    <w:rsid w:val="00C04DDF"/>
    <w:rsid w:val="00C054E0"/>
    <w:rsid w:val="00C056DB"/>
    <w:rsid w:val="00C06AD4"/>
    <w:rsid w:val="00C078DB"/>
    <w:rsid w:val="00C07E2F"/>
    <w:rsid w:val="00C1012D"/>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64ED"/>
    <w:rsid w:val="00C76896"/>
    <w:rsid w:val="00C769B0"/>
    <w:rsid w:val="00C771C6"/>
    <w:rsid w:val="00C772D2"/>
    <w:rsid w:val="00C775C2"/>
    <w:rsid w:val="00C776BA"/>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952"/>
    <w:rsid w:val="00D052D9"/>
    <w:rsid w:val="00D061B5"/>
    <w:rsid w:val="00D06539"/>
    <w:rsid w:val="00D06BF5"/>
    <w:rsid w:val="00D06FEB"/>
    <w:rsid w:val="00D07163"/>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303E"/>
    <w:rsid w:val="00D53E82"/>
    <w:rsid w:val="00D53EC4"/>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CD7"/>
    <w:rsid w:val="00EB7D78"/>
    <w:rsid w:val="00EC032C"/>
    <w:rsid w:val="00EC1760"/>
    <w:rsid w:val="00EC204C"/>
    <w:rsid w:val="00EC25E8"/>
    <w:rsid w:val="00EC294E"/>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529F"/>
    <w:rsid w:val="00EE555B"/>
    <w:rsid w:val="00EE58B4"/>
    <w:rsid w:val="00EE5AED"/>
    <w:rsid w:val="00EE7ACB"/>
    <w:rsid w:val="00EF038E"/>
    <w:rsid w:val="00EF0448"/>
    <w:rsid w:val="00EF065F"/>
    <w:rsid w:val="00EF1382"/>
    <w:rsid w:val="00EF1C45"/>
    <w:rsid w:val="00EF23A5"/>
    <w:rsid w:val="00EF2D6B"/>
    <w:rsid w:val="00EF3704"/>
    <w:rsid w:val="00EF3B79"/>
    <w:rsid w:val="00EF3BB4"/>
    <w:rsid w:val="00EF3FD1"/>
    <w:rsid w:val="00EF5299"/>
    <w:rsid w:val="00EF5ED7"/>
    <w:rsid w:val="00EF6156"/>
    <w:rsid w:val="00EF627A"/>
    <w:rsid w:val="00EF7452"/>
    <w:rsid w:val="00EF74E6"/>
    <w:rsid w:val="00F00277"/>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13520</Words>
  <Characters>77066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90406</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1253</cp:revision>
  <cp:lastPrinted>2025-08-03T11:35:00Z</cp:lastPrinted>
  <dcterms:created xsi:type="dcterms:W3CDTF">2024-11-20T16:26:00Z</dcterms:created>
  <dcterms:modified xsi:type="dcterms:W3CDTF">2025-08-03T11:35:00Z</dcterms:modified>
</cp:coreProperties>
</file>