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C8C396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7603BD">
        <w:rPr>
          <w:rFonts w:ascii="Palatino Linotype" w:hAnsi="Palatino Linotype" w:cs="Times New Roman"/>
          <w:sz w:val="20"/>
        </w:rPr>
        <w:t>2</w:t>
      </w:r>
      <w:r w:rsidR="00880F4E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A4E53B7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8E326B">
        <w:rPr>
          <w:rFonts w:ascii="Palatino Linotype" w:hAnsi="Palatino Linotype" w:cs="Times New Roman"/>
          <w:sz w:val="20"/>
        </w:rPr>
        <w:t>4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6B3D4648" w14:textId="36D25C7F" w:rsidR="004857D6" w:rsidRPr="00ED56F5" w:rsidRDefault="004857D6" w:rsidP="004857D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EB1A14" w:rsidRPr="00EB1A14">
        <w:rPr>
          <w:rFonts w:ascii="Palatino Linotype" w:hAnsi="Palatino Linotype" w:cs="Times New Roman"/>
          <w:bCs/>
          <w:sz w:val="20"/>
        </w:rPr>
        <w:t>Letter to Editor: Pushing Large Language Models for Improved Radiomics Study and Research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A974AD" w:rsidRPr="00A974AD">
        <w:rPr>
          <w:rFonts w:ascii="Palatino Linotype" w:hAnsi="Palatino Linotype" w:cs="Times New Roman"/>
          <w:bCs/>
          <w:sz w:val="20"/>
        </w:rPr>
        <w:t>European Radiology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974AD"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219C" w:rsidRPr="0090219C">
        <w:rPr>
          <w:rFonts w:ascii="Palatino Linotype" w:hAnsi="Palatino Linotype" w:cs="Times New Roman"/>
          <w:bCs/>
          <w:sz w:val="20"/>
        </w:rPr>
        <w:t>1432-1084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(Science Citation Index) (</w:t>
      </w:r>
      <w:r w:rsidR="00237891"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513E78">
        <w:rPr>
          <w:rFonts w:ascii="Palatino Linotype" w:hAnsi="Palatino Linotype" w:cs="Times New Roman"/>
          <w:b/>
          <w:sz w:val="20"/>
        </w:rPr>
        <w:t>5.3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719314D2" w14:textId="38CBE9CC" w:rsidR="000F0E6F" w:rsidRPr="00ED56F5" w:rsidRDefault="000F0E6F" w:rsidP="000F0E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1F53" w:rsidRPr="002B1F53">
        <w:rPr>
          <w:rFonts w:ascii="Palatino Linotype" w:hAnsi="Palatino Linotype" w:cs="Times New Roman"/>
          <w:bCs/>
          <w:sz w:val="20"/>
        </w:rPr>
        <w:t>Does linguistic relativity hypothesis apply on ChatGPT responses? Yes, it does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445170">
        <w:rPr>
          <w:rFonts w:ascii="Palatino Linotype" w:hAnsi="Palatino Linotype" w:cs="Times New Roman"/>
          <w:bCs/>
          <w:sz w:val="20"/>
        </w:rPr>
        <w:t>Computation Intelligence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900200">
        <w:rPr>
          <w:rFonts w:ascii="Palatino Linotype" w:hAnsi="Palatino Linotype" w:cs="Times New Roman"/>
          <w:bCs/>
          <w:sz w:val="20"/>
        </w:rPr>
        <w:t>Wiley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0200" w:rsidRPr="00900200">
        <w:rPr>
          <w:rFonts w:ascii="Palatino Linotype" w:hAnsi="Palatino Linotype" w:cs="Times New Roman"/>
          <w:bCs/>
          <w:sz w:val="20"/>
        </w:rPr>
        <w:t>1467-8640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</w:t>
      </w:r>
      <w:r w:rsidR="00907F30" w:rsidRPr="00ED56F5">
        <w:rPr>
          <w:rFonts w:ascii="Palatino Linotype" w:hAnsi="Palatino Linotype" w:cs="Times New Roman"/>
          <w:b/>
          <w:sz w:val="20"/>
        </w:rPr>
        <w:t>Science Citation Index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0406A2">
        <w:rPr>
          <w:rFonts w:ascii="Palatino Linotype" w:hAnsi="Palatino Linotype" w:cs="Times New Roman"/>
          <w:b/>
          <w:sz w:val="20"/>
        </w:rPr>
        <w:t>1.7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>Beyond PlasticSurgeryGPT: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lastRenderedPageBreak/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31782F51" w14:textId="360730B7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lastRenderedPageBreak/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The 2nd International Conference on Computing, Communication, Perception and Quantum Technology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 xml:space="preserve">Pandit Madan Mohan Malaviya </w:t>
      </w:r>
      <w:r w:rsidR="00330CD1" w:rsidRPr="009B2735">
        <w:rPr>
          <w:rFonts w:ascii="Palatino Linotype" w:eastAsia="Times New Roman" w:hAnsi="Palatino Linotype" w:cs="Times New Roman"/>
          <w:sz w:val="20"/>
        </w:rPr>
        <w:lastRenderedPageBreak/>
        <w:t>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lastRenderedPageBreak/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Technical Sub-Committee for Center of Endangered Languages (CEL) Committee to seek for infrastructure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6D0D" w14:textId="77777777" w:rsidR="002C0E2C" w:rsidRDefault="002C0E2C">
      <w:pPr>
        <w:spacing w:after="0" w:line="240" w:lineRule="auto"/>
      </w:pPr>
      <w:r>
        <w:separator/>
      </w:r>
    </w:p>
  </w:endnote>
  <w:endnote w:type="continuationSeparator" w:id="0">
    <w:p w14:paraId="0B559FC8" w14:textId="77777777" w:rsidR="002C0E2C" w:rsidRDefault="002C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8B47" w14:textId="77777777" w:rsidR="002C0E2C" w:rsidRDefault="002C0E2C">
      <w:pPr>
        <w:spacing w:after="0" w:line="240" w:lineRule="auto"/>
      </w:pPr>
      <w:r>
        <w:separator/>
      </w:r>
    </w:p>
  </w:footnote>
  <w:footnote w:type="continuationSeparator" w:id="0">
    <w:p w14:paraId="694D8473" w14:textId="77777777" w:rsidR="002C0E2C" w:rsidRDefault="002C0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1F53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F4A"/>
    <w:rsid w:val="0034755F"/>
    <w:rsid w:val="00347950"/>
    <w:rsid w:val="00347AD6"/>
    <w:rsid w:val="00347C8E"/>
    <w:rsid w:val="00350546"/>
    <w:rsid w:val="00350D90"/>
    <w:rsid w:val="00351B71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170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57D6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5D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6B3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200"/>
    <w:rsid w:val="00900E0E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1A6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33</Pages>
  <Words>12370</Words>
  <Characters>70513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82718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334</cp:revision>
  <cp:lastPrinted>2025-07-02T03:37:00Z</cp:lastPrinted>
  <dcterms:created xsi:type="dcterms:W3CDTF">2024-11-20T16:26:00Z</dcterms:created>
  <dcterms:modified xsi:type="dcterms:W3CDTF">2025-07-02T03:38:00Z</dcterms:modified>
</cp:coreProperties>
</file>