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348DA5BF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0E50F7">
        <w:rPr>
          <w:rFonts w:ascii="Palatino Linotype" w:hAnsi="Palatino Linotype" w:cs="Times New Roman"/>
          <w:sz w:val="20"/>
        </w:rPr>
        <w:t>6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 xml:space="preserve">A Review on Cancer Data Management Using Blockchain: Progress and </w:t>
      </w:r>
      <w:r w:rsidRPr="009450C2">
        <w:rPr>
          <w:rFonts w:ascii="Palatino Linotype" w:eastAsia="Times New Roman" w:hAnsi="Palatino Linotype" w:cs="Times New Roman"/>
          <w:sz w:val="20"/>
        </w:rPr>
        <w:lastRenderedPageBreak/>
        <w:t>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</w:t>
      </w:r>
      <w:r w:rsidRPr="00786660">
        <w:rPr>
          <w:rFonts w:ascii="Palatino Linotype" w:hAnsi="Palatino Linotype" w:cs="Times New Roman"/>
          <w:sz w:val="20"/>
        </w:rPr>
        <w:lastRenderedPageBreak/>
        <w:t>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lastRenderedPageBreak/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lastRenderedPageBreak/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 xml:space="preserve">Blockchain for IoT-based Medical Delivery Drones: State-of-the-art, Issues, and </w:t>
      </w:r>
      <w:r w:rsidR="0061775D" w:rsidRPr="0061775D">
        <w:rPr>
          <w:rFonts w:ascii="Palatino Linotype" w:eastAsia="Times New Roman" w:hAnsi="Palatino Linotype" w:cs="Times New Roman"/>
          <w:sz w:val="20"/>
        </w:rPr>
        <w:lastRenderedPageBreak/>
        <w:t>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lastRenderedPageBreak/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 xml:space="preserve">The International Conference on Foundation and Large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lastRenderedPageBreak/>
        <w:t>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AnSWeR19: 3rd International Workshop on the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lastRenderedPageBreak/>
        <w:t>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Editorial Advisory Board Member of the Edited Volume on the Cryptographic Security Solutions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AAC09" w14:textId="77777777" w:rsidR="00F2251A" w:rsidRDefault="00F2251A">
      <w:pPr>
        <w:spacing w:after="0" w:line="240" w:lineRule="auto"/>
      </w:pPr>
      <w:r>
        <w:separator/>
      </w:r>
    </w:p>
  </w:endnote>
  <w:endnote w:type="continuationSeparator" w:id="0">
    <w:p w14:paraId="2A2A104F" w14:textId="77777777" w:rsidR="00F2251A" w:rsidRDefault="00F2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71162" w14:textId="77777777" w:rsidR="00F2251A" w:rsidRDefault="00F2251A">
      <w:pPr>
        <w:spacing w:after="0" w:line="240" w:lineRule="auto"/>
      </w:pPr>
      <w:r>
        <w:separator/>
      </w:r>
    </w:p>
  </w:footnote>
  <w:footnote w:type="continuationSeparator" w:id="0">
    <w:p w14:paraId="0001A8B4" w14:textId="77777777" w:rsidR="00F2251A" w:rsidRDefault="00F22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999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58B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11087</Words>
  <Characters>63201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74140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Poulami Majumder</cp:lastModifiedBy>
  <cp:revision>63</cp:revision>
  <cp:lastPrinted>2024-03-23T09:32:00Z</cp:lastPrinted>
  <dcterms:created xsi:type="dcterms:W3CDTF">2024-05-18T08:06:00Z</dcterms:created>
  <dcterms:modified xsi:type="dcterms:W3CDTF">2024-07-02T02:50:00Z</dcterms:modified>
</cp:coreProperties>
</file>