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lastRenderedPageBreak/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0472E6CC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A5490">
        <w:rPr>
          <w:rFonts w:ascii="Palatino Linotype" w:hAnsi="Palatino Linotype" w:cs="Times New Roman"/>
          <w:sz w:val="20"/>
        </w:rPr>
        <w:t>1</w:t>
      </w:r>
      <w:r w:rsidR="005A29B6">
        <w:rPr>
          <w:rFonts w:ascii="Palatino Linotype" w:hAnsi="Palatino Linotype" w:cs="Times New Roman"/>
          <w:sz w:val="20"/>
        </w:rPr>
        <w:t>4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3FCC7FA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D9794E">
        <w:rPr>
          <w:rFonts w:ascii="Palatino Linotype" w:hAnsi="Palatino Linotype" w:cs="Times New Roman"/>
          <w:sz w:val="20"/>
        </w:rPr>
        <w:t>2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 xml:space="preserve">A Review on Cancer Data Management Using Blockchain: Progress and </w:t>
      </w:r>
      <w:r w:rsidRPr="009450C2">
        <w:rPr>
          <w:rFonts w:ascii="Palatino Linotype" w:eastAsia="Times New Roman" w:hAnsi="Palatino Linotype" w:cs="Times New Roman"/>
          <w:sz w:val="20"/>
        </w:rPr>
        <w:lastRenderedPageBreak/>
        <w:t>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lastRenderedPageBreak/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</w:t>
      </w:r>
      <w:r w:rsidRPr="00786660">
        <w:rPr>
          <w:rFonts w:ascii="Palatino Linotype" w:hAnsi="Palatino Linotype" w:cs="Times New Roman"/>
          <w:sz w:val="20"/>
        </w:rPr>
        <w:lastRenderedPageBreak/>
        <w:t>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lastRenderedPageBreak/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 xml:space="preserve">Hemachanda K, Raul V. Rodriguez, Murugappan M, Sivaramakrishnan Rajaraman, </w:t>
      </w:r>
      <w:r w:rsidR="0030179B">
        <w:rPr>
          <w:rFonts w:ascii="Book Antiqua" w:hAnsi="Book Antiqua" w:cs="Times New Roman Bold"/>
          <w:spacing w:val="-2"/>
          <w:sz w:val="20"/>
        </w:rPr>
        <w:lastRenderedPageBreak/>
        <w:t>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</w:t>
      </w:r>
      <w:r w:rsidRPr="0075009E">
        <w:rPr>
          <w:rFonts w:ascii="Palatino Linotype" w:eastAsia="Times New Roman" w:hAnsi="Palatino Linotype" w:cs="Times New Roman"/>
          <w:sz w:val="20"/>
        </w:rPr>
        <w:lastRenderedPageBreak/>
        <w:t>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</w:t>
      </w:r>
      <w:r w:rsidRPr="00786660">
        <w:rPr>
          <w:rFonts w:ascii="Palatino Linotype" w:hAnsi="Palatino Linotype" w:cs="Times New Roman"/>
          <w:sz w:val="20"/>
        </w:rPr>
        <w:lastRenderedPageBreak/>
        <w:t xml:space="preserve">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>5th IEEE Middle East &amp; North Africa Communications 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lastRenderedPageBreak/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at BSNL, Cooch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lastRenderedPageBreak/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2333" w14:textId="77777777" w:rsidR="00A12CA9" w:rsidRDefault="00A12CA9">
      <w:pPr>
        <w:spacing w:after="0" w:line="240" w:lineRule="auto"/>
      </w:pPr>
      <w:r>
        <w:separator/>
      </w:r>
    </w:p>
  </w:endnote>
  <w:endnote w:type="continuationSeparator" w:id="0">
    <w:p w14:paraId="656FEBDA" w14:textId="77777777" w:rsidR="00A12CA9" w:rsidRDefault="00A1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EE30" w14:textId="77777777" w:rsidR="00A12CA9" w:rsidRDefault="00A12CA9">
      <w:pPr>
        <w:spacing w:after="0" w:line="240" w:lineRule="auto"/>
      </w:pPr>
      <w:r>
        <w:separator/>
      </w:r>
    </w:p>
  </w:footnote>
  <w:footnote w:type="continuationSeparator" w:id="0">
    <w:p w14:paraId="2C6009D1" w14:textId="77777777" w:rsidR="00A12CA9" w:rsidRDefault="00A12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79CA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C7C"/>
    <w:rsid w:val="0025608E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255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3969"/>
    <w:rsid w:val="005D3A52"/>
    <w:rsid w:val="005D3AF1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7F9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903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4D8A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2116"/>
    <w:rsid w:val="00ED23A4"/>
    <w:rsid w:val="00ED245F"/>
    <w:rsid w:val="00ED3AC4"/>
    <w:rsid w:val="00ED43D6"/>
    <w:rsid w:val="00ED4534"/>
    <w:rsid w:val="00ED4AAF"/>
    <w:rsid w:val="00ED52B7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32</Pages>
  <Words>12093</Words>
  <Characters>68936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80868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257</cp:revision>
  <cp:lastPrinted>2025-02-11T09:58:00Z</cp:lastPrinted>
  <dcterms:created xsi:type="dcterms:W3CDTF">2024-11-20T16:26:00Z</dcterms:created>
  <dcterms:modified xsi:type="dcterms:W3CDTF">2025-05-28T05:40:00Z</dcterms:modified>
</cp:coreProperties>
</file>