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F85ADA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F35FDA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B7118F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424CA5">
        <w:rPr>
          <w:rFonts w:ascii="Palatino Linotype" w:hAnsi="Palatino Linotype" w:cs="Times New Roman"/>
          <w:sz w:val="20"/>
        </w:rPr>
        <w:t>3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 xml:space="preserve">Notion </w:t>
      </w:r>
      <w:r w:rsidR="00703D3C">
        <w:rPr>
          <w:rFonts w:ascii="Palatino Linotype" w:eastAsia="Times New Roman" w:hAnsi="Palatino Linotype" w:cs="Times New Roman"/>
          <w:sz w:val="20"/>
        </w:rPr>
        <w:lastRenderedPageBreak/>
        <w:t>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lastRenderedPageBreak/>
        <w:t xml:space="preserve">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Nitant </w:t>
      </w:r>
      <w:r w:rsidRPr="00786660">
        <w:rPr>
          <w:rFonts w:ascii="Palatino Linotype" w:hAnsi="Palatino Linotype" w:cs="Times New Roman"/>
          <w:sz w:val="20"/>
        </w:rPr>
        <w:lastRenderedPageBreak/>
        <w:t>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31782F51" w14:textId="360730B7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</w:t>
      </w:r>
      <w:r w:rsidRPr="001E2148">
        <w:rPr>
          <w:rFonts w:ascii="Palatino Linotype" w:eastAsia="Times New Roman" w:hAnsi="Palatino Linotype" w:cs="Times New Roman"/>
          <w:sz w:val="20"/>
        </w:rPr>
        <w:lastRenderedPageBreak/>
        <w:t>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D6CA" w14:textId="77777777" w:rsidR="007C4CA5" w:rsidRDefault="007C4CA5">
      <w:pPr>
        <w:spacing w:after="0" w:line="240" w:lineRule="auto"/>
      </w:pPr>
      <w:r>
        <w:separator/>
      </w:r>
    </w:p>
  </w:endnote>
  <w:endnote w:type="continuationSeparator" w:id="0">
    <w:p w14:paraId="15E97CEB" w14:textId="77777777" w:rsidR="007C4CA5" w:rsidRDefault="007C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D861" w14:textId="77777777" w:rsidR="007C4CA5" w:rsidRDefault="007C4CA5">
      <w:pPr>
        <w:spacing w:after="0" w:line="240" w:lineRule="auto"/>
      </w:pPr>
      <w:r>
        <w:separator/>
      </w:r>
    </w:p>
  </w:footnote>
  <w:footnote w:type="continuationSeparator" w:id="0">
    <w:p w14:paraId="5A3BBC21" w14:textId="77777777" w:rsidR="007C4CA5" w:rsidRDefault="007C4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33</Pages>
  <Words>12273</Words>
  <Characters>69962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82071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300</cp:revision>
  <cp:lastPrinted>2025-02-11T09:58:00Z</cp:lastPrinted>
  <dcterms:created xsi:type="dcterms:W3CDTF">2024-11-20T16:26:00Z</dcterms:created>
  <dcterms:modified xsi:type="dcterms:W3CDTF">2025-06-18T03:41:00Z</dcterms:modified>
</cp:coreProperties>
</file>