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2020 Ahmad Dahlan International Conference Series on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Information Society and Smart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</w:t>
      </w:r>
      <w:r w:rsidRPr="00094336">
        <w:rPr>
          <w:rFonts w:ascii="Palatino Linotype" w:eastAsia="Times New Roman" w:hAnsi="Palatino Linotype" w:cs="Times New Roman"/>
          <w:bCs/>
          <w:sz w:val="20"/>
        </w:rPr>
        <w:lastRenderedPageBreak/>
        <w:t>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lastRenderedPageBreak/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of BOS of the Department of Computer Sciences and Applications,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3454" w14:textId="77777777" w:rsidR="0069185C" w:rsidRDefault="0069185C">
      <w:pPr>
        <w:spacing w:after="0" w:line="240" w:lineRule="auto"/>
      </w:pPr>
      <w:r>
        <w:separator/>
      </w:r>
    </w:p>
  </w:endnote>
  <w:endnote w:type="continuationSeparator" w:id="0">
    <w:p w14:paraId="72D2CE32" w14:textId="77777777" w:rsidR="0069185C" w:rsidRDefault="0069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E1C9" w14:textId="77777777" w:rsidR="0069185C" w:rsidRDefault="0069185C">
      <w:pPr>
        <w:spacing w:after="0" w:line="240" w:lineRule="auto"/>
      </w:pPr>
      <w:r>
        <w:separator/>
      </w:r>
    </w:p>
  </w:footnote>
  <w:footnote w:type="continuationSeparator" w:id="0">
    <w:p w14:paraId="7E2F8359" w14:textId="77777777" w:rsidR="0069185C" w:rsidRDefault="0069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31</Pages>
  <Words>11232</Words>
  <Characters>64024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75106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113</cp:revision>
  <cp:lastPrinted>2024-03-23T09:32:00Z</cp:lastPrinted>
  <dcterms:created xsi:type="dcterms:W3CDTF">2024-05-18T08:06:00Z</dcterms:created>
  <dcterms:modified xsi:type="dcterms:W3CDTF">2024-08-15T05:24:00Z</dcterms:modified>
</cp:coreProperties>
</file>