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6E83EB" w14:textId="77777777" w:rsidR="00661B45" w:rsidRDefault="00DF50A7" w:rsidP="00661B45">
      <w:r w:rsidRPr="0034372E">
        <w:rPr>
          <w:b/>
          <w:bCs/>
          <w:color w:val="156082" w:themeColor="accent1"/>
        </w:rPr>
        <w:t>Steps for Role Assignments and Azure Monitor Configuration:</w:t>
      </w:r>
      <w:r w:rsidR="0034372E">
        <w:br/>
      </w:r>
      <w:r w:rsidR="0034372E">
        <w:br/>
      </w:r>
      <w:r w:rsidR="00E465B5" w:rsidRPr="00E465B5">
        <w:rPr>
          <w:b/>
          <w:bCs/>
          <w:color w:val="E97132" w:themeColor="accent2"/>
          <w:sz w:val="20"/>
          <w:szCs w:val="20"/>
        </w:rPr>
        <w:t>Assign Reader Access to the Azure Resource:</w:t>
      </w:r>
      <w:r w:rsidR="00FC41FD">
        <w:br/>
        <w:t>==&gt;</w:t>
      </w:r>
      <w:r w:rsidR="00C2744B" w:rsidRPr="00C2744B">
        <w:rPr>
          <w:sz w:val="18"/>
          <w:szCs w:val="18"/>
        </w:rPr>
        <w:t>Navigate to the Azure Virtual Machine (ARVAZAPP19) in the Azure Portal.</w:t>
      </w:r>
      <w:r w:rsidR="00B96CD8">
        <w:rPr>
          <w:sz w:val="18"/>
          <w:szCs w:val="18"/>
        </w:rPr>
        <w:br/>
        <w:t>==&gt;</w:t>
      </w:r>
      <w:r w:rsidR="00C2744B" w:rsidRPr="00C2744B">
        <w:rPr>
          <w:sz w:val="18"/>
          <w:szCs w:val="18"/>
        </w:rPr>
        <w:t xml:space="preserve"> </w:t>
      </w:r>
      <w:r w:rsidR="00C2744B" w:rsidRPr="00C2744B">
        <w:rPr>
          <w:sz w:val="18"/>
          <w:szCs w:val="18"/>
        </w:rPr>
        <w:t>Go to Access control (IAM) and click + Add → Add role assignment.</w:t>
      </w:r>
      <w:r w:rsidR="00F63FA4">
        <w:rPr>
          <w:sz w:val="18"/>
          <w:szCs w:val="18"/>
        </w:rPr>
        <w:br/>
      </w:r>
      <w:r w:rsidR="00FE448B" w:rsidRPr="00C2744B">
        <w:rPr>
          <w:sz w:val="18"/>
          <w:szCs w:val="18"/>
        </w:rPr>
        <w:br/>
      </w:r>
      <w:r w:rsidR="00FE448B" w:rsidRPr="00FE448B">
        <w:drawing>
          <wp:inline distT="0" distB="0" distL="0" distR="0" wp14:anchorId="2EBBB082" wp14:editId="54DADF96">
            <wp:extent cx="5731510" cy="2825115"/>
            <wp:effectExtent l="0" t="0" r="2540" b="0"/>
            <wp:docPr id="135972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60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48B">
        <w:br/>
      </w:r>
      <w:r w:rsidR="00FE448B">
        <w:br/>
      </w:r>
      <w:r w:rsidR="00FE448B">
        <w:br/>
      </w:r>
      <w:r w:rsidR="00FE448B">
        <w:br/>
      </w:r>
      <w:r w:rsidR="00B96CD8">
        <w:t>==&gt;</w:t>
      </w:r>
      <w:r w:rsidR="00F63FA4" w:rsidRPr="00F63FA4">
        <w:rPr>
          <w:sz w:val="18"/>
          <w:szCs w:val="18"/>
        </w:rPr>
        <w:t>In the Add role assignment pane:</w:t>
      </w:r>
      <w:r w:rsidR="00F63FA4">
        <w:rPr>
          <w:sz w:val="18"/>
          <w:szCs w:val="18"/>
        </w:rPr>
        <w:br/>
        <w:t xml:space="preserve">==&gt; </w:t>
      </w:r>
      <w:r w:rsidR="00F63FA4" w:rsidRPr="00F63FA4">
        <w:rPr>
          <w:sz w:val="18"/>
          <w:szCs w:val="18"/>
        </w:rPr>
        <w:t>Select the Reader role (allows viewing resources) and click Next.</w:t>
      </w:r>
      <w:r w:rsidR="00F63FA4">
        <w:rPr>
          <w:sz w:val="18"/>
          <w:szCs w:val="18"/>
        </w:rPr>
        <w:br/>
      </w:r>
      <w:r w:rsidR="00FE448B">
        <w:br/>
      </w:r>
      <w:r w:rsidR="00FE448B" w:rsidRPr="00FE448B">
        <w:drawing>
          <wp:inline distT="0" distB="0" distL="0" distR="0" wp14:anchorId="47C7FD1B" wp14:editId="4C6C36DB">
            <wp:extent cx="5990961" cy="2419350"/>
            <wp:effectExtent l="0" t="0" r="0" b="0"/>
            <wp:docPr id="722663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6375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2745" cy="242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B45">
        <w:br/>
      </w:r>
      <w:r w:rsidR="00661B45">
        <w:br/>
        <w:t xml:space="preserve">== </w:t>
      </w:r>
      <w:r w:rsidR="00661B45">
        <w:t>Under Members, choose the security group (e.g., ACLC-AZURE-ARVAZAPP19-INSIGHTS) and click Review + Assign.</w:t>
      </w:r>
    </w:p>
    <w:p w14:paraId="5F84D01F" w14:textId="650A5377" w:rsidR="001E50B6" w:rsidRDefault="00507A68" w:rsidP="001E50B6">
      <w:r>
        <w:t>==&gt;</w:t>
      </w:r>
      <w:r w:rsidR="00661B45">
        <w:t>Verify that the Reader role is now assigned to the specified security group.</w:t>
      </w:r>
      <w:r w:rsidR="00661B45">
        <w:br/>
      </w:r>
      <w:r w:rsidR="003E56B7">
        <w:br/>
      </w:r>
      <w:r w:rsidR="003E56B7" w:rsidRPr="003E56B7">
        <w:lastRenderedPageBreak/>
        <w:drawing>
          <wp:inline distT="0" distB="0" distL="0" distR="0" wp14:anchorId="45D58E2F" wp14:editId="4226FB2B">
            <wp:extent cx="5731510" cy="2310130"/>
            <wp:effectExtent l="0" t="0" r="2540" b="0"/>
            <wp:docPr id="401658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5838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6B7">
        <w:br/>
      </w:r>
      <w:r w:rsidR="003E56B7">
        <w:br/>
      </w:r>
      <w:r w:rsidR="003E56B7" w:rsidRPr="003E56B7">
        <w:drawing>
          <wp:inline distT="0" distB="0" distL="0" distR="0" wp14:anchorId="1E8FAF5B" wp14:editId="77FE3896">
            <wp:extent cx="5731510" cy="2307590"/>
            <wp:effectExtent l="0" t="0" r="2540" b="0"/>
            <wp:docPr id="1709400599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00599" name="Picture 1" descr="A close up of a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8E4655" w:rsidRPr="008E4655">
        <w:rPr>
          <w:b/>
          <w:bCs/>
          <w:color w:val="E97132" w:themeColor="accent2"/>
          <w:sz w:val="20"/>
          <w:szCs w:val="20"/>
        </w:rPr>
        <w:t>Check Azure Monitor Configuration:</w:t>
      </w:r>
      <w:r w:rsidR="008E4655">
        <w:br/>
      </w:r>
      <w:r w:rsidR="008E4655">
        <w:br/>
      </w:r>
      <w:r w:rsidR="001E50B6">
        <w:t>==&gt;</w:t>
      </w:r>
      <w:r w:rsidR="00901BBB" w:rsidRPr="00901BBB">
        <w:t>Go to Azure Monitor in the Azure Portal.</w:t>
      </w:r>
      <w:r w:rsidR="001E50B6">
        <w:br/>
        <w:t>==&gt;</w:t>
      </w:r>
      <w:r w:rsidR="001E50B6">
        <w:t>Click on Virtual Machines.</w:t>
      </w:r>
      <w:r w:rsidR="00901BBB">
        <w:t xml:space="preserve"> </w:t>
      </w:r>
      <w:r w:rsidR="001E50B6">
        <w:t xml:space="preserve">Search for the VM (ARVAZAPP19) under Monitored or </w:t>
      </w:r>
      <w:r w:rsidR="00901BBB">
        <w:t>Not Monitored</w:t>
      </w:r>
      <w:r w:rsidR="001E50B6">
        <w:t>.</w:t>
      </w:r>
    </w:p>
    <w:p w14:paraId="2DDDD7D2" w14:textId="7189EDC0" w:rsidR="002C64CC" w:rsidRDefault="003E56B7" w:rsidP="002C64CC">
      <w:r>
        <w:br/>
      </w:r>
      <w:r w:rsidR="007767C7" w:rsidRPr="00FE448B">
        <w:drawing>
          <wp:inline distT="0" distB="0" distL="0" distR="0" wp14:anchorId="1567D7D0" wp14:editId="06B1E424">
            <wp:extent cx="5731510" cy="2318385"/>
            <wp:effectExtent l="0" t="0" r="2540" b="5715"/>
            <wp:docPr id="464131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318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FE448B">
        <w:lastRenderedPageBreak/>
        <w:br/>
      </w:r>
      <w:r w:rsidR="002C64CC">
        <w:t>==&gt;If the VM is not enabled for monitoring: Click Enable.</w:t>
      </w:r>
    </w:p>
    <w:p w14:paraId="5CDC2B40" w14:textId="3098476A" w:rsidR="009461A7" w:rsidRDefault="002C64CC" w:rsidP="009461A7">
      <w:r>
        <w:t>==&gt;</w:t>
      </w:r>
      <w:r>
        <w:t>Choose either the default Data Collection Rule (DCR) or create a new DCR based on your requirements.</w:t>
      </w:r>
      <w:r>
        <w:br/>
      </w:r>
      <w:r w:rsidR="00FE448B">
        <w:br/>
      </w:r>
      <w:r w:rsidR="00FE448B">
        <w:br/>
      </w:r>
      <w:r w:rsidR="00FE448B" w:rsidRPr="00FE448B">
        <w:drawing>
          <wp:inline distT="0" distB="0" distL="0" distR="0" wp14:anchorId="585E6B20" wp14:editId="2A30DD75">
            <wp:extent cx="5731510" cy="2195830"/>
            <wp:effectExtent l="0" t="0" r="2540" b="0"/>
            <wp:docPr id="1884036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369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48B">
        <w:br/>
      </w:r>
      <w:r w:rsidR="00FE448B">
        <w:br/>
      </w:r>
      <w:r w:rsidR="00FE448B">
        <w:br/>
      </w:r>
      <w:r w:rsidR="00FE448B" w:rsidRPr="00FE448B">
        <w:drawing>
          <wp:inline distT="0" distB="0" distL="0" distR="0" wp14:anchorId="3932DFB6" wp14:editId="45C688B4">
            <wp:extent cx="5731510" cy="2356485"/>
            <wp:effectExtent l="0" t="0" r="2540" b="5715"/>
            <wp:docPr id="583781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8105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48B">
        <w:br/>
      </w:r>
      <w:r w:rsidR="00FE448B">
        <w:br/>
      </w:r>
      <w:r w:rsidR="00FE448B" w:rsidRPr="00FE448B">
        <w:drawing>
          <wp:inline distT="0" distB="0" distL="0" distR="0" wp14:anchorId="2FC74746" wp14:editId="77842ED5">
            <wp:extent cx="5731510" cy="1811020"/>
            <wp:effectExtent l="0" t="0" r="2540" b="0"/>
            <wp:docPr id="588573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7389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48B">
        <w:br/>
      </w:r>
      <w:r w:rsidR="00FE448B">
        <w:br/>
      </w:r>
      <w:r w:rsidR="007767C7">
        <w:rPr>
          <w:b/>
          <w:bCs/>
          <w:color w:val="E97132" w:themeColor="accent2"/>
          <w:sz w:val="20"/>
          <w:szCs w:val="20"/>
        </w:rPr>
        <w:br/>
      </w:r>
      <w:r w:rsidR="007767C7">
        <w:rPr>
          <w:b/>
          <w:bCs/>
          <w:color w:val="E97132" w:themeColor="accent2"/>
          <w:sz w:val="20"/>
          <w:szCs w:val="20"/>
        </w:rPr>
        <w:br/>
      </w:r>
      <w:r w:rsidR="007767C7">
        <w:rPr>
          <w:b/>
          <w:bCs/>
          <w:color w:val="E97132" w:themeColor="accent2"/>
          <w:sz w:val="20"/>
          <w:szCs w:val="20"/>
        </w:rPr>
        <w:br/>
      </w:r>
      <w:r w:rsidR="00437A76" w:rsidRPr="00437A76">
        <w:rPr>
          <w:b/>
          <w:bCs/>
          <w:color w:val="E97132" w:themeColor="accent2"/>
          <w:sz w:val="20"/>
          <w:szCs w:val="20"/>
        </w:rPr>
        <w:lastRenderedPageBreak/>
        <w:t>Assign Reader Role to the Security Group for the DCR:</w:t>
      </w:r>
      <w:r w:rsidR="00437A76">
        <w:br/>
      </w:r>
      <w:r w:rsidR="009461A7">
        <w:br/>
        <w:t xml:space="preserve">==&gt; </w:t>
      </w:r>
      <w:r w:rsidR="002D6A28">
        <w:t>N</w:t>
      </w:r>
      <w:r w:rsidR="009461A7">
        <w:t>avigate to the DCR resource.</w:t>
      </w:r>
      <w:r w:rsidR="009461A7">
        <w:t xml:space="preserve"> </w:t>
      </w:r>
      <w:r w:rsidR="009461A7">
        <w:t>Go to Access control (IAM) and click + Add → Add role assignment.</w:t>
      </w:r>
    </w:p>
    <w:p w14:paraId="05741DCE" w14:textId="15038FE5" w:rsidR="009461A7" w:rsidRDefault="009461A7" w:rsidP="009461A7">
      <w:r>
        <w:t>==&gt;</w:t>
      </w:r>
      <w:r>
        <w:t>Assign the Reader role to the same security group (ACLC-AZURE-ARVAZAPP19-INSIGHTS).</w:t>
      </w:r>
    </w:p>
    <w:p w14:paraId="477314C1" w14:textId="77777777" w:rsidR="00033D50" w:rsidRDefault="009461A7" w:rsidP="00033D50">
      <w:r>
        <w:t>Verify Role Assignments:</w:t>
      </w:r>
      <w:r>
        <w:br/>
      </w:r>
      <w:r w:rsidR="00FE448B">
        <w:br/>
      </w:r>
      <w:r w:rsidR="00FE448B" w:rsidRPr="00FE448B">
        <w:drawing>
          <wp:inline distT="0" distB="0" distL="0" distR="0" wp14:anchorId="05A7BAB9" wp14:editId="4A153988">
            <wp:extent cx="5731510" cy="1936115"/>
            <wp:effectExtent l="0" t="0" r="2540" b="6985"/>
            <wp:docPr id="322736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367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48B">
        <w:br/>
      </w:r>
      <w:r w:rsidR="00FE448B">
        <w:br/>
      </w:r>
      <w:r w:rsidR="00FE448B">
        <w:br/>
      </w:r>
      <w:r w:rsidR="00FE448B" w:rsidRPr="00FE448B">
        <w:drawing>
          <wp:inline distT="0" distB="0" distL="0" distR="0" wp14:anchorId="6968EB8A" wp14:editId="60CED29B">
            <wp:extent cx="5731510" cy="2112010"/>
            <wp:effectExtent l="0" t="0" r="2540" b="2540"/>
            <wp:docPr id="924763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6375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48B">
        <w:br/>
      </w:r>
      <w:r w:rsidR="00FE448B">
        <w:br/>
      </w:r>
      <w:r w:rsidR="00FE448B" w:rsidRPr="00FE448B">
        <w:drawing>
          <wp:inline distT="0" distB="0" distL="0" distR="0" wp14:anchorId="5825A815" wp14:editId="32745BDF">
            <wp:extent cx="5731510" cy="2285365"/>
            <wp:effectExtent l="0" t="0" r="2540" b="635"/>
            <wp:docPr id="1020068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686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48B">
        <w:br/>
      </w:r>
      <w:r w:rsidR="00FE448B">
        <w:br/>
      </w:r>
      <w:r w:rsidR="00FE448B">
        <w:br/>
      </w:r>
      <w:r w:rsidR="00FE448B" w:rsidRPr="00FE448B">
        <w:lastRenderedPageBreak/>
        <w:drawing>
          <wp:inline distT="0" distB="0" distL="0" distR="0" wp14:anchorId="2B89FCD7" wp14:editId="6060F7D7">
            <wp:extent cx="5731510" cy="2310765"/>
            <wp:effectExtent l="0" t="0" r="2540" b="0"/>
            <wp:docPr id="511955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5540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48B">
        <w:br/>
      </w:r>
      <w:r>
        <w:br/>
      </w:r>
      <w:r>
        <w:br/>
      </w:r>
      <w:r w:rsidR="00033D50">
        <w:t>==&gt;</w:t>
      </w:r>
      <w:r w:rsidR="00033D50">
        <w:t>Confirm that the security group now has two Reader roles assigned:</w:t>
      </w:r>
    </w:p>
    <w:p w14:paraId="375B9694" w14:textId="0EB86714" w:rsidR="00974B3C" w:rsidRPr="00C2744B" w:rsidRDefault="00033D50" w:rsidP="00033D50">
      <w:pPr>
        <w:rPr>
          <w:sz w:val="18"/>
          <w:szCs w:val="18"/>
        </w:rPr>
      </w:pPr>
      <w:r>
        <w:t>One for the VM (ARVAZAPP19).</w:t>
      </w:r>
      <w:r w:rsidR="00DC38C6" w:rsidRPr="00DC38C6">
        <w:t xml:space="preserve"> </w:t>
      </w:r>
      <w:r w:rsidR="00DC38C6" w:rsidRPr="00DC38C6">
        <w:t>Another for the DCR (if applicable).</w:t>
      </w:r>
      <w:r>
        <w:br/>
      </w:r>
      <w:r>
        <w:br/>
        <w:t xml:space="preserve">==&gt; </w:t>
      </w:r>
      <w:r w:rsidRPr="00033D50">
        <w:t>Members of the security group will now have the necessary permissions to view insights for the Azure resource.</w:t>
      </w:r>
      <w:r>
        <w:br/>
      </w:r>
      <w:r w:rsidR="00FE448B">
        <w:br/>
      </w:r>
      <w:r w:rsidR="009461A7" w:rsidRPr="003E56B7">
        <w:drawing>
          <wp:inline distT="0" distB="0" distL="0" distR="0" wp14:anchorId="6F45D55F" wp14:editId="0D1FE264">
            <wp:extent cx="5731510" cy="2028190"/>
            <wp:effectExtent l="0" t="0" r="2540" b="0"/>
            <wp:docPr id="2004251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5150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B3C" w:rsidRPr="00C274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48B"/>
    <w:rsid w:val="00033D50"/>
    <w:rsid w:val="000E0255"/>
    <w:rsid w:val="001E50B6"/>
    <w:rsid w:val="002C64CC"/>
    <w:rsid w:val="002D6A28"/>
    <w:rsid w:val="0034372E"/>
    <w:rsid w:val="003E56B7"/>
    <w:rsid w:val="00437A76"/>
    <w:rsid w:val="00507A68"/>
    <w:rsid w:val="0061617A"/>
    <w:rsid w:val="00661B45"/>
    <w:rsid w:val="007767C7"/>
    <w:rsid w:val="008E4655"/>
    <w:rsid w:val="00901BBB"/>
    <w:rsid w:val="009461A7"/>
    <w:rsid w:val="00974B3C"/>
    <w:rsid w:val="00B42AD7"/>
    <w:rsid w:val="00B96CD8"/>
    <w:rsid w:val="00C2744B"/>
    <w:rsid w:val="00DC38C6"/>
    <w:rsid w:val="00DF50A7"/>
    <w:rsid w:val="00E465B5"/>
    <w:rsid w:val="00E8372A"/>
    <w:rsid w:val="00F63FA4"/>
    <w:rsid w:val="00FC41FD"/>
    <w:rsid w:val="00FE4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D8590"/>
  <w15:chartTrackingRefBased/>
  <w15:docId w15:val="{AAA9F509-7ED4-422E-B92B-2208C8A54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4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44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44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44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44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44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44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44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44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44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44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44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44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44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44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44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44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44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44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44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44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44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44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44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44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44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44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44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44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5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Boggala Sai Jayaram</dc:creator>
  <cp:keywords/>
  <dc:description/>
  <cp:lastModifiedBy>Boggala Sai Jayaram</cp:lastModifiedBy>
  <cp:revision>23</cp:revision>
  <dcterms:created xsi:type="dcterms:W3CDTF">2024-11-21T17:03:00Z</dcterms:created>
  <dcterms:modified xsi:type="dcterms:W3CDTF">2024-11-22T01:11:00Z</dcterms:modified>
</cp:coreProperties>
</file>