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59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Design Phase</w:t>
      </w:r>
    </w:p>
    <w:p w:rsidR="00000000" w:rsidDel="00000000" w:rsidP="00000000" w:rsidRDefault="00000000" w:rsidRPr="00000000" w14:paraId="00000002">
      <w:pPr>
        <w:spacing w:line="259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Solution Architecture</w:t>
      </w:r>
    </w:p>
    <w:p w:rsidR="00000000" w:rsidDel="00000000" w:rsidP="00000000" w:rsidRDefault="00000000" w:rsidRPr="00000000" w14:paraId="00000003">
      <w:pPr>
        <w:spacing w:line="259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9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46"/>
        <w:gridCol w:w="4346"/>
        <w:tblGridChange w:id="0">
          <w:tblGrid>
            <w:gridCol w:w="4346"/>
            <w:gridCol w:w="4346"/>
          </w:tblGrid>
        </w:tblGridChange>
      </w:tblGrid>
      <w:tr>
        <w:trPr>
          <w:cantSplit w:val="0"/>
          <w:trHeight w:val="244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26-06-2025</w:t>
            </w:r>
          </w:p>
        </w:tc>
      </w:tr>
      <w:tr>
        <w:trPr>
          <w:cantSplit w:val="0"/>
          <w:trHeight w:val="244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LTVIP2025TMID58962</w:t>
            </w:r>
          </w:p>
        </w:tc>
      </w:tr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DocSpot: Seamless appointment Booking for Health</w:t>
            </w:r>
          </w:p>
        </w:tc>
      </w:tr>
      <w:tr>
        <w:trPr>
          <w:cantSplit w:val="0"/>
          <w:trHeight w:val="266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Architecture:</w:t>
      </w:r>
    </w:p>
    <w:p w:rsidR="00000000" w:rsidDel="00000000" w:rsidP="00000000" w:rsidRDefault="00000000" w:rsidRPr="00000000" w14:paraId="0000000E">
      <w:pPr>
        <w:shd w:fill="ffffff" w:val="clear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To provide a user-friendly, secure, and scalable healthcare appointment booking system that bridges the gap between patients and healthcare providers.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150" w:lineRule="auto"/>
        <w:ind w:left="720" w:hanging="360"/>
        <w:rPr/>
      </w:pPr>
      <w:r w:rsidDel="00000000" w:rsidR="00000000" w:rsidRPr="00000000">
        <w:rPr>
          <w:rtl w:val="0"/>
        </w:rPr>
        <w:t xml:space="preserve"> Effortless Appointment Booking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150" w:lineRule="auto"/>
        <w:ind w:left="720" w:hanging="360"/>
        <w:rPr/>
      </w:pPr>
      <w:r w:rsidDel="00000000" w:rsidR="00000000" w:rsidRPr="00000000">
        <w:rPr>
          <w:rtl w:val="0"/>
        </w:rPr>
        <w:t xml:space="preserve">End-to-End Patient Management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150" w:lineRule="auto"/>
        <w:ind w:left="720" w:hanging="360"/>
        <w:rPr/>
      </w:pPr>
      <w:r w:rsidDel="00000000" w:rsidR="00000000" w:rsidRPr="00000000">
        <w:rPr>
          <w:rtl w:val="0"/>
        </w:rPr>
        <w:t xml:space="preserve">Scalable user authentication and authorization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150" w:lineRule="auto"/>
        <w:ind w:left="720" w:hanging="360"/>
        <w:rPr/>
      </w:pPr>
      <w:r w:rsidDel="00000000" w:rsidR="00000000" w:rsidRPr="00000000">
        <w:rPr>
          <w:rtl w:val="0"/>
        </w:rPr>
        <w:t xml:space="preserve">Secure and trackable payment transactions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150" w:lineRule="auto"/>
        <w:ind w:left="720" w:hanging="360"/>
        <w:rPr/>
      </w:pPr>
      <w:r w:rsidDel="00000000" w:rsidR="00000000" w:rsidRPr="00000000">
        <w:rPr>
          <w:rtl w:val="0"/>
        </w:rPr>
        <w:t xml:space="preserve">Reliable real-time chat and notification</w:t>
      </w:r>
    </w:p>
    <w:p w:rsidR="00000000" w:rsidDel="00000000" w:rsidP="00000000" w:rsidRDefault="00000000" w:rsidRPr="00000000" w14:paraId="00000014">
      <w:pPr>
        <w:spacing w:after="160" w:line="259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 - Solution Architecture Diagram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16">
      <w:pPr>
        <w:spacing w:after="160" w:line="259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5733415" cy="38220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2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