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MongoDB Financials Use-Case – Consultant Status Summary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(Apr 15 – Jun 19 2025)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tseildx16gk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Scope of Work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Design and implement a MongoDB schema and event-driven processing pipeline mirroring legacy Oracle financial tables while introducing scenario isolation ( </w:t>
      </w:r>
      <w:r w:rsidDel="00000000" w:rsidR="00000000" w:rsidRPr="00000000">
        <w:rPr>
          <w:i w:val="1"/>
          <w:rtl w:val="0"/>
        </w:rPr>
        <w:t xml:space="preserve">outlook, budget, live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) and downstream aggregation levels (L4 ➔ L3, L1 ➔ L2).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umnopr6aom6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Major Contributions &amp; Deliverables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86.3338533541344"/>
        <w:gridCol w:w="5772.730109204368"/>
        <w:gridCol w:w="1800.9360374414975"/>
        <w:tblGridChange w:id="0">
          <w:tblGrid>
            <w:gridCol w:w="1786.3338533541344"/>
            <w:gridCol w:w="5772.730109204368"/>
            <w:gridCol w:w="1800.936037441497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Area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Outcome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rHeight w:val="15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Schema design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• Mapped Oracle tables to MongoDB collections: lvl1FinancialsSummary, lvl4CostDetails$&lt;scenario&gt;, lvl3CostDetails$&lt;scenario&gt;, lvl2FinancialsSummary.• Standardised key fields (ipLongId, planId, scenario tags) across levels for join-free look-ups.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Green-labelled entities in the architecture diagram are finalised.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Lookup consolidation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Combined multiple Oracle reference tables (BU, billing keys, supplier, title) into a single lookup collection, leveraging MongoDB’s flexible schema to reduce cross-collection joins during enrichment.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Event ingestion &amp; persistence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Built ECS Java services that ingest SNS events (IP_COST_DETAILS, IP_COST_SUMMARY) from </w:t>
            </w:r>
            <w:r w:rsidDel="00000000" w:rsidR="00000000" w:rsidRPr="00000000">
              <w:rPr>
                <w:b w:val="1"/>
                <w:rtl w:val="0"/>
              </w:rPr>
              <w:t xml:space="preserve">GOS DB</w:t>
            </w:r>
            <w:r w:rsidDel="00000000" w:rsidR="00000000" w:rsidRPr="00000000">
              <w:rPr>
                <w:rtl w:val="0"/>
              </w:rPr>
              <w:t xml:space="preserve"> and upsert into level-respective collections.•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i w:val="1"/>
                <w:rtl w:val="0"/>
              </w:rPr>
              <w:t xml:space="preserve">L4 ➔ L3 flow</w:t>
            </w:r>
            <w:r w:rsidDel="00000000" w:rsidR="00000000" w:rsidRPr="00000000">
              <w:rPr>
                <w:rtl w:val="0"/>
              </w:rPr>
              <w:t xml:space="preserve">: enrich with lookup data, write to lvl3CostDetails$&lt;scenario&gt;.•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i w:val="1"/>
                <w:rtl w:val="0"/>
              </w:rPr>
              <w:t xml:space="preserve">L1 ➔ L2 flow</w:t>
            </w:r>
            <w:r w:rsidDel="00000000" w:rsidR="00000000" w:rsidRPr="00000000">
              <w:rPr>
                <w:rtl w:val="0"/>
              </w:rPr>
              <w:t xml:space="preserve">: enrich with allocations, taxonomy, app mappings, write to lvl2FinancialsSummary.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Aggregation / enrichment queries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Authored and optimised MongoDB aggregation pipelines that:• reduce verbose L4 cost arrays (up to 8 k rows) to BU-level L3 docs.• roll fiscal-year figures and enrichment objects into compact L2 documents.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Transactional orchestration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Wrapped multi-collection updates in withTransaction blocks to guarantee atomicity (upsert + audit) and added timestamped stage metrics for latency tracking.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Audit framework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Designed auditCollection, implemented create/update hooks, and extended schema to log duration, failure reason, and retry metadata.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Performance &amp; indexing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• Replaced unsupported wildcard index outlook.$**.fyCost with outlook.$** and proposed flattening outlook into [ {year, fyCost} ] structure.• Guided team on compound indexes for ipLongId + planId + scenario.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enablement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Fielded ad-hoc query-tuning questions, reviewed PRs, and documented best practices for India dev team’s upcoming training sessions.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Pull requests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Raised and merged PRs covering:1. L4 ➔ L3 event processor and aggregation pipelines.2. L1 ➔ L2 enrichment logic and transaction wrapper.3. Audit collection schema and helper utilities.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eso13583np7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Delivered Effort by Sprint</w:t>
      </w:r>
    </w:p>
    <w:tbl>
      <w:tblPr>
        <w:tblStyle w:val="Table2"/>
        <w:tblW w:w="81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25"/>
        <w:gridCol w:w="1805"/>
        <w:gridCol w:w="875"/>
        <w:gridCol w:w="1160"/>
        <w:tblGridChange w:id="0">
          <w:tblGrid>
            <w:gridCol w:w="4325"/>
            <w:gridCol w:w="1805"/>
            <w:gridCol w:w="875"/>
            <w:gridCol w:w="116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 (Jira 251)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Ticket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Points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Apr 15 – May 15 (Design)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Mongo Queries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Complete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May 15 – Jun 1 (Execution – Txn flows)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Mongo Queries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Complete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Jun 1 – Jun 19 (Execution – Aggregations)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Mongo Queries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Complete</w:t>
            </w:r>
          </w:p>
        </w:tc>
      </w:tr>
    </w:tbl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quiggq49g2x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Dependencies / Items Outside My Control</w:t>
      </w:r>
    </w:p>
    <w:tbl>
      <w:tblPr>
        <w:tblStyle w:val="Table3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14.726989079563"/>
        <w:gridCol w:w="1450.4836193447738"/>
        <w:gridCol w:w="3494.789391575663"/>
        <w:tblGridChange w:id="0">
          <w:tblGrid>
            <w:gridCol w:w="4414.726989079563"/>
            <w:gridCol w:w="1450.4836193447738"/>
            <w:gridCol w:w="3494.789391575663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Collection (red in diagram)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Owned by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Impact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billingKeyRefData, sdmBuHierarchy, expenseHierarchy, supplier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Source-system teams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Required for full enrichment; awaiting finalized feeds &amp; schemas.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ipClosedMonthCostAllocations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Finance Ops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Needed to close the loop on live-scenario reconciliations.</w:t>
            </w:r>
          </w:p>
        </w:tc>
      </w:tr>
    </w:tbl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lykzyfpaaer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Outstanding Work (black labels)</w:t>
      </w:r>
    </w:p>
    <w:tbl>
      <w:tblPr>
        <w:tblStyle w:val="Table4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523.99375975039"/>
        <w:gridCol w:w="1377.4726989079566"/>
        <w:gridCol w:w="4458.533541341654"/>
        <w:tblGridChange w:id="0">
          <w:tblGrid>
            <w:gridCol w:w="3523.99375975039"/>
            <w:gridCol w:w="1377.4726989079566"/>
            <w:gridCol w:w="4458.533541341654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Next Action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Finalise ipAllocatedCost roll-ups into L2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Design drafted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Align on allocation logic once allocation engine stabilises.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Produce downstream dashboards (myInsights)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Schema ready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Coordinate with BI team to wire queries and validate aggregates.</w:t>
            </w:r>
          </w:p>
        </w:tc>
      </w:tr>
    </w:tbl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9zk5epmzyam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Next Steps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Support dependency teams</w:t>
      </w:r>
      <w:r w:rsidDel="00000000" w:rsidR="00000000" w:rsidRPr="00000000">
        <w:rPr>
          <w:rtl w:val="0"/>
        </w:rPr>
        <w:t xml:space="preserve"> to onboard their reference data into MongoDB (schema validation, index suggestions).</w:t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Benchmark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end-to-end L4 ➔ L3 ➔ L2 latency and tweak pipelines or indexes as needed.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Cluster sizing</w:t>
      </w:r>
      <w:r w:rsidDel="00000000" w:rsidR="00000000" w:rsidRPr="00000000">
        <w:rPr>
          <w:rtl w:val="0"/>
        </w:rPr>
        <w:t xml:space="preserve"> review with MongoDB SA once data-volume projections are final.</w:t>
        <w:br w:type="textWrapping"/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Deliver training</w:t>
      </w:r>
      <w:r w:rsidDel="00000000" w:rsidR="00000000" w:rsidRPr="00000000">
        <w:rPr>
          <w:rtl w:val="0"/>
        </w:rPr>
        <w:t xml:space="preserve"> session for India dev team on scenario-aware querying patterns and aggregation-framework tips.</w:t>
        <w:br w:type="textWrapping"/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All committed deliverables for the April–June 2025 window have been completed with zero spill-over. System is ready for integrated testing once dependent reference collections are live.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