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563EB"/>
          <w:sz w:val="48"/>
        </w:rPr>
        <w:t>TraceShield (SIH26106)</w:t>
      </w:r>
    </w:p>
    <w:p>
      <w:pPr>
        <w:spacing w:before="0" w:after="360"/>
      </w:pPr>
      <w:r>
        <w:rPr>
          <w:rFonts w:ascii="Calibri" w:hAnsi="Calibri"/>
          <w:i/>
          <w:color w:val="64748B"/>
          <w:sz w:val="24"/>
        </w:rPr>
        <w:t>AI-Powered Email Threat Detection, GeoLocation &amp; Forensic Intelligence Platform — Complete Feature &amp; Architectural Guide</w:t>
      </w:r>
    </w:p>
    <w:p>
      <w:pPr>
        <w:keepNext/>
        <w:spacing w:before="360" w:after="120"/>
      </w:pPr>
      <w:r>
        <w:rPr>
          <w:rFonts w:ascii="Calibri" w:hAnsi="Calibri"/>
          <w:b/>
          <w:color w:val="2563EB"/>
          <w:sz w:val="32"/>
        </w:rPr>
        <w:t>1. The Core Problem Statement (SIH26106)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The Problem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4155"/>
          <w:sz w:val="22"/>
        </w:rPr>
        <w:t>Traditional email gateways and spam filters (such as standard Bayesian filters or static blacklists) suffer from critical limitations: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1. Black-box verdicts:</w:t>
      </w:r>
      <w:r>
        <w:rPr>
          <w:rFonts w:ascii="Calibri" w:hAnsi="Calibri"/>
          <w:color w:val="334155"/>
          <w:sz w:val="21"/>
        </w:rPr>
        <w:t xml:space="preserve"> They label an email as 'Spam' or 'Phishing' with no technical explanation or audit trail.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2. Blindness to modern evasion vectors:</w:t>
      </w:r>
      <w:r>
        <w:rPr>
          <w:rFonts w:ascii="Calibri" w:hAnsi="Calibri"/>
          <w:color w:val="334155"/>
          <w:sz w:val="21"/>
        </w:rPr>
        <w:t xml:space="preserve"> They struggle with Unicode IDN homoglyphs (e.g. Cyrillic characters that look identical to Latin letters), quishing (hiding malicious URLs inside QR codes in attachments or inline HTML), and display-name brand spoofing.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3. Lack of infrastructure origin tracing:</w:t>
      </w:r>
      <w:r>
        <w:rPr>
          <w:rFonts w:ascii="Calibri" w:hAnsi="Calibri"/>
          <w:color w:val="334155"/>
          <w:sz w:val="21"/>
        </w:rPr>
        <w:t xml:space="preserve"> Attackers easily forge the From header. Victims cannot see where the email actually came from geographically or whether it originated from a commercial VPN/datacenter node.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4. No chain-of-custody evidence:</w:t>
      </w:r>
      <w:r>
        <w:rPr>
          <w:rFonts w:ascii="Calibri" w:hAnsi="Calibri"/>
          <w:color w:val="334155"/>
          <w:sz w:val="21"/>
        </w:rPr>
        <w:t xml:space="preserve"> Law enforcement and enterprise SOC analysts cannot take a standard spam flag to court or an incident report; they need cryptographic proof, hashes, relay hops, and formal forensic documentation.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TraceShield's Solution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4155"/>
          <w:sz w:val="22"/>
        </w:rPr>
        <w:t>TraceShield is an Explainable Forensic Intelligence Platform. Instead of giving a simple 'safe/unsafe' flag, it performs multi-layered forensic inspection, traces physical and network origins, runs local offline Zero-Shot NLP, decodes hidden barcodes, calibrates risk transparently, and generates court-grade PDF dossiers.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High-Level Forensic Pipeline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1E293B"/>
          <w:sz w:val="19"/>
        </w:rPr>
        <w:t>[ Raw Email (.eml / MIME text) ]</w:t>
        <w:br/>
        <w:t xml:space="preserve">        │</w:t>
        <w:br/>
        <w:t xml:space="preserve">        ├──► Module 1: Header Forensics (DKIM, SPF, DMARC, Relay Chain, Attachments)</w:t>
        <w:br/>
        <w:t xml:space="preserve">        ├──► Module 2: Content Analysis (Zero-Shot DistilBERT NLP, Lookalikes, Homoglyphs, QR)</w:t>
        <w:br/>
        <w:t xml:space="preserve">        ├──► Module 3: Geolocation &amp; Attribution (MaxMind City &amp; ASN, Public IP Isolation)</w:t>
        <w:br/>
        <w:t xml:space="preserve">        │</w:t>
        <w:br/>
        <w:t xml:space="preserve">        ▼</w:t>
        <w:br/>
        <w:t>[ Module 4: Threat Fusion Scoring Engine (0-100) ]</w:t>
        <w:br/>
        <w:t xml:space="preserve">        - Dimensional Points Breakdown (Headers 40, Content 45, Origin 15)</w:t>
        <w:br/>
        <w:t xml:space="preserve">        - False-Positive Capping &amp; Mitigating Discounts</w:t>
        <w:br/>
        <w:t xml:space="preserve">        - High vs. Moderate Confidence Calibration</w:t>
        <w:br/>
        <w:t xml:space="preserve">        - Dynamic AI Executive Briefing</w:t>
        <w:br/>
        <w:t xml:space="preserve">        │</w:t>
        <w:br/>
        <w:t xml:space="preserve">        ├──► Module 5: Court-Grade Evidence PDF Dossier (Jinja2 + WeasyPrint)</w:t>
        <w:br/>
        <w:t xml:space="preserve">        ├──► Module 6: Chrome Browser Extension (Manifest V3 Inbox Warning)</w:t>
        <w:br/>
        <w:t xml:space="preserve">        └──► Module 7: Adversarial Red-Team Simulator (AI Evasion Stress-Testing)</w:t>
      </w:r>
    </w:p>
    <w:p>
      <w:pPr>
        <w:keepNext/>
        <w:spacing w:before="360" w:after="120"/>
      </w:pPr>
      <w:r>
        <w:rPr>
          <w:rFonts w:ascii="Calibri" w:hAnsi="Calibri"/>
          <w:b/>
          <w:color w:val="2563EB"/>
          <w:sz w:val="32"/>
        </w:rPr>
        <w:t>2. Comprehensive Breakdown of All 7 Core Modules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Module 1: Header &amp; Protocol Forensics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Source File: </w:t>
      </w:r>
      <w:r>
        <w:rPr>
          <w:rFonts w:ascii="Calibri" w:hAnsi="Calibri"/>
          <w:i/>
          <w:color w:val="334155"/>
          <w:sz w:val="22"/>
        </w:rPr>
        <w:t>backend/modules/header_forensics.py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1. Cryptographic DKIM Verification (dkimpy):</w:t>
      </w:r>
      <w:r>
        <w:rPr>
          <w:rFonts w:ascii="Calibri" w:hAnsi="Calibri"/>
          <w:color w:val="334155"/>
          <w:sz w:val="21"/>
        </w:rPr>
        <w:t xml:space="preserve"> Computes mathematical RSA/Ed25519 signature checks on headers and email body. Detects whether headers or contents were tampered with in transit.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2. Authoritative DNS SPF &amp; DMARC Validation (checkdmarc, dnspython):</w:t>
      </w:r>
      <w:r>
        <w:rPr>
          <w:rFonts w:ascii="Calibri" w:hAnsi="Calibri"/>
          <w:color w:val="334155"/>
          <w:sz w:val="21"/>
        </w:rPr>
        <w:t xml:space="preserve"> Resolves the true SMTP Return-Path envelope domain and checks SPF TXT records. Evaluates DMARC alignment (pass, fail, softfail, or none).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3. Reverse Relay Chain Reconstruction:</w:t>
      </w:r>
      <w:r>
        <w:rPr>
          <w:rFonts w:ascii="Calibri" w:hAnsi="Calibri"/>
          <w:color w:val="334155"/>
          <w:sz w:val="21"/>
        </w:rPr>
        <w:t xml:space="preserve"> Parses chronological Received: headers from the final destination back to the initial injection MTA. Extracts server hostnames, timestamps, and routing protocols (e.g. ESMTPS TLS 1.3).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4. Public Origin IP Extraction:</w:t>
      </w:r>
      <w:r>
        <w:rPr>
          <w:rFonts w:ascii="Calibri" w:hAnsi="Calibri"/>
          <w:color w:val="334155"/>
          <w:sz w:val="21"/>
        </w:rPr>
        <w:t xml:space="preserve"> Strips internal loopback and RFC 1918 private subnets (127.0.0.1, 10.0.0.0/8, 172.16.0.0/12, 192.168.0.0/16) to isolate the genuine public sender IP.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5. Reply-To Mismatch Detection:</w:t>
      </w:r>
      <w:r>
        <w:rPr>
          <w:rFonts w:ascii="Calibri" w:hAnsi="Calibri"/>
          <w:color w:val="334155"/>
          <w:sz w:val="21"/>
        </w:rPr>
        <w:t xml:space="preserve"> Detects when the Reply-To: domain diverges from the From: domain, revealing attacker shadow inboxes.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6. Display Name Brand Spoofing:</w:t>
      </w:r>
      <w:r>
        <w:rPr>
          <w:rFonts w:ascii="Calibri" w:hAnsi="Calibri"/>
          <w:color w:val="334155"/>
          <w:sz w:val="21"/>
        </w:rPr>
        <w:t xml:space="preserve"> Cross-references display names against major institutions (SBI, HDFC, ICICI, Aadhaar/UIDAI, PayPal, Microsoft, Google, etc.). Flags attacks where display text reads 'HDFC Security' but the sender domain is @random-server.com.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7. Attachment Forensics &amp; SHA-256 Hashing:</w:t>
      </w:r>
      <w:r>
        <w:rPr>
          <w:rFonts w:ascii="Calibri" w:hAnsi="Calibri"/>
          <w:color w:val="334155"/>
          <w:sz w:val="21"/>
        </w:rPr>
        <w:t xml:space="preserve"> Recursively traverses MIME parts to detect 13 high-risk executable, script, and macro extensions (.exe, .bat, .vbs, .js, .hta, .iso, .scr, etc.). Computes a cryptographic SHA-256 hash for every attachment for threat intel cross-referencing.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8. Structural Anomaly Engine:</w:t>
      </w:r>
      <w:r>
        <w:rPr>
          <w:rFonts w:ascii="Calibri" w:hAnsi="Calibri"/>
          <w:color w:val="334155"/>
          <w:sz w:val="21"/>
        </w:rPr>
        <w:t xml:space="preserve"> Flags suspicious technical indicators: missing Message-ID, short relay hops (&lt; 2 servers), known bulk mailers (X-Mailer: sendblaster, massmailer), and uppercase urgency triggers.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Module 2: NLP Content Analysis, QR &amp; Homoglyphs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Source File: </w:t>
      </w:r>
      <w:r>
        <w:rPr>
          <w:rFonts w:ascii="Calibri" w:hAnsi="Calibri"/>
          <w:i/>
          <w:color w:val="334155"/>
          <w:sz w:val="22"/>
        </w:rPr>
        <w:t>backend/modules/content_analysis.py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1. Zero-Shot NLP Threat Classification (transformers):</w:t>
      </w:r>
      <w:r>
        <w:rPr>
          <w:rFonts w:ascii="Calibri" w:hAnsi="Calibri"/>
          <w:color w:val="334155"/>
          <w:sz w:val="21"/>
        </w:rPr>
        <w:t xml:space="preserve"> Employs HuggingFace's typeform/distilbert-base-uncased-mnli running 100% locally and offline. Scores Psychological Urgency (panic induction) and Authority Impersonation on a continuous 0.0 to 1.0 scale. Utilizes dual-window scanning (first 3072 + last 1024 characters) to catch calls-to-action buried at the bottom of long emails.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2. QR Code 'Quishing' Extraction (pyzbar + Pillow):</w:t>
      </w:r>
      <w:r>
        <w:rPr>
          <w:rFonts w:ascii="Calibri" w:hAnsi="Calibri"/>
          <w:color w:val="334155"/>
          <w:sz w:val="21"/>
        </w:rPr>
        <w:t xml:space="preserve"> Detects embedded QR codes in image attachments and inline base64 HTML images (data:image/png;base64). Decodes target URLs and sends them through lookalike and homoglyph checks.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3. Unicode IDN Homoglyph Attack Detection (idna):</w:t>
      </w:r>
      <w:r>
        <w:rPr>
          <w:rFonts w:ascii="Calibri" w:hAnsi="Calibri"/>
          <w:color w:val="334155"/>
          <w:sz w:val="21"/>
        </w:rPr>
        <w:t xml:space="preserve"> Decodes Internationalized Domain Names (Punycode xn--) to reveal lookalike non-Latin substitutions (e.g. replacing Latin 'a' with Cyrillic 'а').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4. Second-Level Domain (SLD) Lookalike Engine (python-Levenshtein):</w:t>
      </w:r>
      <w:r>
        <w:rPr>
          <w:rFonts w:ascii="Calibri" w:hAnsi="Calibri"/>
          <w:color w:val="334155"/>
          <w:sz w:val="21"/>
        </w:rPr>
        <w:t xml:space="preserve"> Calculates Levenshtein edit distance on the exact second-level domain against 40+ high-target Indian banks, government portals, and global brands. Catches subtle typosquatting (e.g. sbi-verify.com vs sbi.co.in).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5. Credential Harvesting Detection:</w:t>
      </w:r>
      <w:r>
        <w:rPr>
          <w:rFonts w:ascii="Calibri" w:hAnsi="Calibri"/>
          <w:color w:val="334155"/>
          <w:sz w:val="21"/>
        </w:rPr>
        <w:t xml:space="preserve"> Scans for proximity patterns pairing sensitive targets (password, OTP, PIN, bank account, KYC) with action triggers (verify, login, update immediately).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6. URL Shortener Obfuscation:</w:t>
      </w:r>
      <w:r>
        <w:rPr>
          <w:rFonts w:ascii="Calibri" w:hAnsi="Calibri"/>
          <w:color w:val="334155"/>
          <w:sz w:val="21"/>
        </w:rPr>
        <w:t xml:space="preserve"> Flags URL masking services (bit.ly, tinyurl, t.co, is.gd, etc.).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Module 3: Geolocation &amp; Infrastructure Attribution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Source File: </w:t>
      </w:r>
      <w:r>
        <w:rPr>
          <w:rFonts w:ascii="Calibri" w:hAnsi="Calibri"/>
          <w:i/>
          <w:color w:val="334155"/>
          <w:sz w:val="22"/>
        </w:rPr>
        <w:t>backend/modules/geolocation.py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1. Offline MaxMind GeoLite2 City Database:</w:t>
      </w:r>
      <w:r>
        <w:rPr>
          <w:rFonts w:ascii="Calibri" w:hAnsi="Calibri"/>
          <w:color w:val="334155"/>
          <w:sz w:val="21"/>
        </w:rPr>
        <w:t xml:space="preserve"> Maps extracted origin IPs to exact Country, Region, City, and geographic coordinates (latitude &amp; longitude).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2. Autonomous System Number (ASN) &amp; ISP Tracking:</w:t>
      </w:r>
      <w:r>
        <w:rPr>
          <w:rFonts w:ascii="Calibri" w:hAnsi="Calibri"/>
          <w:color w:val="334155"/>
          <w:sz w:val="21"/>
        </w:rPr>
        <w:t xml:space="preserve"> Queries MaxMind GeoLite2 ASN database to identify the network provider routing the message.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3. Commercial VPN &amp; Cloud Datacenter Detection:</w:t>
      </w:r>
      <w:r>
        <w:rPr>
          <w:rFonts w:ascii="Calibri" w:hAnsi="Calibri"/>
          <w:color w:val="334155"/>
          <w:sz w:val="21"/>
        </w:rPr>
        <w:t xml:space="preserve"> Detects origin IPs belonging to cloud VPS providers (DigitalOcean, AWS, OVH, Linode, Hetzner) and proxy/VPN networks, alerting analysts when a corporate email originated from an unauthenticated cloud server.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Module 4: Fusion Scoring, Confidence Calibration &amp; XAI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Source File: </w:t>
      </w:r>
      <w:r>
        <w:rPr>
          <w:rFonts w:ascii="Calibri" w:hAnsi="Calibri"/>
          <w:i/>
          <w:color w:val="334155"/>
          <w:sz w:val="22"/>
        </w:rPr>
        <w:t>backend/modules/fusion_scoring.py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1. Deterministic 0–100 Risk Score:</w:t>
      </w:r>
      <w:r>
        <w:rPr>
          <w:rFonts w:ascii="Calibri" w:hAnsi="Calibri"/>
          <w:color w:val="334155"/>
          <w:sz w:val="21"/>
        </w:rPr>
        <w:t xml:space="preserve"> Categorized into three tiers: Low Risk (0–30), Medium Risk (31–60), and High Risk (61–100).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2. Dimensional Points Breakdown:</w:t>
      </w:r>
      <w:r>
        <w:rPr>
          <w:rFonts w:ascii="Calibri" w:hAnsi="Calibri"/>
          <w:color w:val="334155"/>
          <w:sz w:val="21"/>
        </w:rPr>
        <w:t xml:space="preserve"> Header Authentication (Max 40 points), Content Threats (Max 45 points), and Network Infrastructure (Max 15 points).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3. Mitigating Discounts (False-Positive Capping):</w:t>
      </w:r>
      <w:r>
        <w:rPr>
          <w:rFonts w:ascii="Calibri" w:hAnsi="Calibri"/>
          <w:color w:val="334155"/>
          <w:sz w:val="21"/>
        </w:rPr>
        <w:t xml:space="preserve"> If an email has valid SPF/DKIM authentication and zero hard threats (no homoglyphs, no quishing, no lookalikes), the score is capped at 20 (Low Risk) even if promotional marketing text triggered high NLP urgency.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4. Hard Threat Override:</w:t>
      </w:r>
      <w:r>
        <w:rPr>
          <w:rFonts w:ascii="Calibri" w:hAnsi="Calibri"/>
          <w:color w:val="334155"/>
          <w:sz w:val="21"/>
        </w:rPr>
        <w:t xml:space="preserve"> If both NLP Urgency and Impersonation exceed 75%, mitigating discounts are bypassed to catch hijacked legitimate email accounts.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5. Confidence Level Calibration:</w:t>
      </w:r>
      <w:r>
        <w:rPr>
          <w:rFonts w:ascii="Calibri" w:hAnsi="Calibri"/>
          <w:color w:val="334155"/>
          <w:sz w:val="21"/>
        </w:rPr>
        <w:t xml:space="preserve"> Labels verdicts as 'High Confidence' (backed by objective cryptographic/DNS failures) or 'Moderate Confidence' (driven by probabilistic heuristics).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6. Positive Security Audit Trail:</w:t>
      </w:r>
      <w:r>
        <w:rPr>
          <w:rFonts w:ascii="Calibri" w:hAnsi="Calibri"/>
          <w:color w:val="334155"/>
          <w:sz w:val="21"/>
        </w:rPr>
        <w:t xml:space="preserve"> Provides a list of passed security controls alongside triggered threat indicators.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7. Plain-English Executive Briefing:</w:t>
      </w:r>
      <w:r>
        <w:rPr>
          <w:rFonts w:ascii="Calibri" w:hAnsi="Calibri"/>
          <w:color w:val="334155"/>
          <w:sz w:val="21"/>
        </w:rPr>
        <w:t xml:space="preserve"> Synthesizes all findings into a plain-English executive summary explaining what happened without requiring deep technical knowledge.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Module 5: Court-Grade Evidence PDF Dossier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Source File: </w:t>
      </w:r>
      <w:r>
        <w:rPr>
          <w:rFonts w:ascii="Calibri" w:hAnsi="Calibri"/>
          <w:i/>
          <w:color w:val="334155"/>
          <w:sz w:val="22"/>
        </w:rPr>
        <w:t>backend/modules/report_generator.py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1. Chain of Custody &amp; Evidence Headers:</w:t>
      </w:r>
      <w:r>
        <w:rPr>
          <w:rFonts w:ascii="Calibri" w:hAnsi="Calibri"/>
          <w:color w:val="334155"/>
          <w:sz w:val="21"/>
        </w:rPr>
        <w:t xml:space="preserve"> Records Analysis Timestamp, Investigator ID, Unique UUID, and raw email SHA-256 hash.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2. Comprehensive Visual Report:</w:t>
      </w:r>
      <w:r>
        <w:rPr>
          <w:rFonts w:ascii="Calibri" w:hAnsi="Calibri"/>
          <w:color w:val="334155"/>
          <w:sz w:val="21"/>
        </w:rPr>
        <w:t xml:space="preserve"> Built using Jinja2 HTML templating and rendered via WeasyPrint. Includes executive summary, risk gauge, protocol verification grid, reverse relay hops table, decoded QR findings, and targeted incident containment steps.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3. One-Click Export:</w:t>
      </w:r>
      <w:r>
        <w:rPr>
          <w:rFonts w:ascii="Calibri" w:hAnsi="Calibri"/>
          <w:color w:val="334155"/>
          <w:sz w:val="21"/>
        </w:rPr>
        <w:t xml:space="preserve"> Direct download from the web interface or via the /report API endpoint.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Module 6: Chrome Browser Extension (Manifest V3)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Source Directory: </w:t>
      </w:r>
      <w:r>
        <w:rPr>
          <w:rFonts w:ascii="Calibri" w:hAnsi="Calibri"/>
          <w:i/>
          <w:color w:val="334155"/>
          <w:sz w:val="22"/>
        </w:rPr>
        <w:t>extension/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1. In-Inbox Gmail Integration:</w:t>
      </w:r>
      <w:r>
        <w:rPr>
          <w:rFonts w:ascii="Calibri" w:hAnsi="Calibri"/>
          <w:color w:val="334155"/>
          <w:sz w:val="21"/>
        </w:rPr>
        <w:t xml:space="preserve"> Automatically injects security warning badges directly into the Gmail email reading pane.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2. Real-Time Header &amp; Content Parsing:</w:t>
      </w:r>
      <w:r>
        <w:rPr>
          <w:rFonts w:ascii="Calibri" w:hAnsi="Calibri"/>
          <w:color w:val="334155"/>
          <w:sz w:val="21"/>
        </w:rPr>
        <w:t xml:space="preserve"> Inspects active emails and sends telemetry to the local FastAPI backend.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3. Interactive Extension Popup:</w:t>
      </w:r>
      <w:r>
        <w:rPr>
          <w:rFonts w:ascii="Calibri" w:hAnsi="Calibri"/>
          <w:color w:val="334155"/>
          <w:sz w:val="21"/>
        </w:rPr>
        <w:t xml:space="preserve"> Displays real-time risk gauges, origin country, authentication status, and one-click actions: 'View Full Forensic Dossier', 'Quarantine Message', and 'Download Evidence PDF'.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Module 7: Adversarial Red-Team Simulator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Source File: </w:t>
      </w:r>
      <w:r>
        <w:rPr>
          <w:rFonts w:ascii="Calibri" w:hAnsi="Calibri"/>
          <w:i/>
          <w:color w:val="334155"/>
          <w:sz w:val="22"/>
        </w:rPr>
        <w:t>backend/modules/adversarial_test.py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1. Simulated AI Attack Strategies:</w:t>
      </w:r>
      <w:r>
        <w:rPr>
          <w:rFonts w:ascii="Calibri" w:hAnsi="Calibri"/>
          <w:color w:val="334155"/>
          <w:sz w:val="21"/>
        </w:rPr>
        <w:t xml:space="preserve"> Includes: Business Routine Reconciliation (low urgency invoice bypassing NLP), IT Certificate Maintenance (routine notification with homoglyph), EPFO HR Benefits Quishing (barcode payload), and Executive Whaling Impersonation (calm CEO correspondence with Reply-To mismatch).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2. Live Defense Validation:</w:t>
      </w:r>
      <w:r>
        <w:rPr>
          <w:rFonts w:ascii="Calibri" w:hAnsi="Calibri"/>
          <w:color w:val="334155"/>
          <w:sz w:val="21"/>
        </w:rPr>
        <w:t xml:space="preserve"> Feeds generated evasive payloads through TraceShield to demonstrate how multi-layered detection catches attacks that bypass single-signal filters.</w:t>
      </w:r>
    </w:p>
    <w:p>
      <w:pPr>
        <w:keepNext/>
        <w:spacing w:before="360" w:after="120"/>
      </w:pPr>
      <w:r>
        <w:rPr>
          <w:rFonts w:ascii="Calibri" w:hAnsi="Calibri"/>
          <w:b/>
          <w:color w:val="2563EB"/>
          <w:sz w:val="32"/>
        </w:rPr>
        <w:t>3. The Web Application &amp; Dashboard Experience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1. Landing Screen (IntroPage.jsx):</w:t>
      </w:r>
      <w:r>
        <w:rPr>
          <w:rFonts w:ascii="Calibri" w:hAnsi="Calibri"/>
          <w:color w:val="334155"/>
          <w:sz w:val="21"/>
        </w:rPr>
        <w:t xml:space="preserve"> Clean, modern landing interface presenting the 6 core forensic pillars and a single-click entry into the dashboard.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2. Threat Assessment Core (ScoreDashboard.jsx):</w:t>
      </w:r>
      <w:r>
        <w:rPr>
          <w:rFonts w:ascii="Calibri" w:hAnsi="Calibri"/>
          <w:color w:val="334155"/>
          <w:sz w:val="21"/>
        </w:rPr>
        <w:t xml:space="preserve"> SVG radial risk gauge (0–100), dimensional breakdown progress bars, plain-English executive briefing, and interactive Threat Explanation tooltips.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3. 3D Interactive Earth Globe (TraceMap.jsx):</w:t>
      </w:r>
      <w:r>
        <w:rPr>
          <w:rFonts w:ascii="Calibri" w:hAnsi="Calibri"/>
          <w:color w:val="334155"/>
          <w:sz w:val="21"/>
        </w:rPr>
        <w:t xml:space="preserve"> WebGL 3D rotating globe rendering the email's physical origin with latitude/longitude markers and datacenter ISP badges.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4. 3D Threat Topology Graph (ReportViewer.jsx):</w:t>
      </w:r>
      <w:r>
        <w:rPr>
          <w:rFonts w:ascii="Calibri" w:hAnsi="Calibri"/>
          <w:color w:val="334155"/>
          <w:sz w:val="21"/>
        </w:rPr>
        <w:t xml:space="preserve"> Interactive 3D node-link graph visualizing relationships between Sender, Mail Relays, Target, and Detected Threats.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5. One-Click Attack Demos:</w:t>
      </w:r>
      <w:r>
        <w:rPr>
          <w:rFonts w:ascii="Calibri" w:hAnsi="Calibri"/>
          <w:color w:val="334155"/>
          <w:sz w:val="21"/>
        </w:rPr>
        <w:t xml:space="preserve"> Instant testing with pre-loaded real-world scenarios: Bank of India Spoof, Google Calendar Invite, Cyrillic Homoglyph Attack, and Cloud VPS Origin.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6. Upload &amp; Batch Processing (UploadModal.jsx):</w:t>
      </w:r>
      <w:r>
        <w:rPr>
          <w:rFonts w:ascii="Calibri" w:hAnsi="Calibri"/>
          <w:color w:val="334155"/>
          <w:sz w:val="21"/>
        </w:rPr>
        <w:t xml:space="preserve"> Supports .eml file drag-and-drop, raw RFC 822 text paste, and batch multi-email queues.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>7. SQLite Investigation History (HistoryDrawer.jsx):</w:t>
      </w:r>
      <w:r>
        <w:rPr>
          <w:rFonts w:ascii="Calibri" w:hAnsi="Calibri"/>
          <w:color w:val="334155"/>
          <w:sz w:val="21"/>
        </w:rPr>
        <w:t xml:space="preserve"> Persists all past investigations locally with risk-tier filters and instant retrieval.</w:t>
      </w:r>
    </w:p>
    <w:p>
      <w:pPr>
        <w:keepNext/>
        <w:spacing w:before="360" w:after="120"/>
      </w:pPr>
      <w:r>
        <w:rPr>
          <w:rFonts w:ascii="Calibri" w:hAnsi="Calibri"/>
          <w:b/>
          <w:color w:val="2563EB"/>
          <w:sz w:val="32"/>
        </w:rPr>
        <w:t>4. Key Advantages for Presentations &amp; Evaluations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4155"/>
          <w:sz w:val="22"/>
        </w:rPr>
        <w:t>Comparison between standard spam filters and the TraceShield forensic platform: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2563EB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3168"/>
            <w:shd w:fill="2563EB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Standard Gateway / Spam Filter</w:t>
            </w:r>
          </w:p>
        </w:tc>
        <w:tc>
          <w:tcPr>
            <w:tcW w:type="dxa" w:w="3600"/>
            <w:shd w:fill="2563EB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TraceShield Platform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Protocol Authentication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64748B"/>
                <w:sz w:val="19"/>
              </w:rPr>
              <w:t>Binary Pass/Fail flag</w:t>
            </w:r>
          </w:p>
        </w:tc>
        <w:tc>
          <w:tcPr>
            <w:tcW w:type="dxa" w:w="3600"/>
            <w:shd w:fill="F8FAFC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Cryptographic DKIM + Envelope SPF + DMARC alignment audit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Origin Attribution</w:t>
            </w:r>
          </w:p>
        </w:tc>
        <w:tc>
          <w:tcPr>
            <w:tcW w:type="dxa" w:w="3168"/>
            <w:shd w:fill="FFFFFF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64748B"/>
                <w:sz w:val="19"/>
              </w:rPr>
              <w:t>Often masked or ignored</w:t>
            </w:r>
          </w:p>
        </w:tc>
        <w:tc>
          <w:tcPr>
            <w:tcW w:type="dxa" w:w="3600"/>
            <w:shd w:fill="FFFFFF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Public IP reverse relay extraction + MaxMind City &amp; ASN mapping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Advanced Vectors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64748B"/>
                <w:sz w:val="19"/>
              </w:rPr>
              <w:t>Misses QR codes &amp; Homoglyphs</w:t>
            </w:r>
          </w:p>
        </w:tc>
        <w:tc>
          <w:tcPr>
            <w:tcW w:type="dxa" w:w="3600"/>
            <w:shd w:fill="F8FAFC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Automatic inline QR decoding + Punycode IDN homoglyph detection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Lookalike Detection</w:t>
            </w:r>
          </w:p>
        </w:tc>
        <w:tc>
          <w:tcPr>
            <w:tcW w:type="dxa" w:w="3168"/>
            <w:shd w:fill="FFFFFF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64748B"/>
                <w:sz w:val="19"/>
              </w:rPr>
              <w:t>Static keyword lists</w:t>
            </w:r>
          </w:p>
        </w:tc>
        <w:tc>
          <w:tcPr>
            <w:tcW w:type="dxa" w:w="3600"/>
            <w:shd w:fill="FFFFFF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Levenshtein edit distance on Second-Level Domains (40+ brands)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NLP Context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64748B"/>
                <w:sz w:val="19"/>
              </w:rPr>
              <w:t>Generic keyword matching</w:t>
            </w:r>
          </w:p>
        </w:tc>
        <w:tc>
          <w:tcPr>
            <w:tcW w:type="dxa" w:w="3600"/>
            <w:shd w:fill="F8FAFC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Local Zero-Shot DistilBERT scoring urgency &amp; impersonation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Explainability</w:t>
            </w:r>
          </w:p>
        </w:tc>
        <w:tc>
          <w:tcPr>
            <w:tcW w:type="dxa" w:w="3168"/>
            <w:shd w:fill="FFFFFF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64748B"/>
                <w:sz w:val="19"/>
              </w:rPr>
              <w:t>Opaque black-box</w:t>
            </w:r>
          </w:p>
        </w:tc>
        <w:tc>
          <w:tcPr>
            <w:tcW w:type="dxa" w:w="3600"/>
            <w:shd w:fill="FFFFFF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Full dimensional point breakdown, positive audit trail, and briefing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Offline Privacy</w:t>
            </w:r>
          </w:p>
        </w:tc>
        <w:tc>
          <w:tcPr>
            <w:tcW w:type="dxa" w:w="3168"/>
            <w:shd w:fill="F8FAFC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64748B"/>
                <w:sz w:val="19"/>
              </w:rPr>
              <w:t>Requires cloud API calls</w:t>
            </w:r>
          </w:p>
        </w:tc>
        <w:tc>
          <w:tcPr>
            <w:tcW w:type="dxa" w:w="3600"/>
            <w:shd w:fill="F8FAFC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100% offline &amp; local, zero external data leakage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Evidence Output</w:t>
            </w:r>
          </w:p>
        </w:tc>
        <w:tc>
          <w:tcPr>
            <w:tcW w:type="dxa" w:w="3168"/>
            <w:shd w:fill="FFFFFF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64748B"/>
                <w:sz w:val="19"/>
              </w:rPr>
              <w:t>Basic UI alert</w:t>
            </w:r>
          </w:p>
        </w:tc>
        <w:tc>
          <w:tcPr>
            <w:tcW w:type="dxa" w:w="3600"/>
            <w:shd w:fill="FFFFFF"/>
          </w:tcPr>
          <w:p>
            <w:pPr>
              <w:spacing w:before="80" w:after="8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Downloadable, court-grade PDF evidence dossier with SHA-256 hash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