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Borgerassistent — pensionsansøgning</w:t>
      </w:r>
    </w:p>
    <w:p>
      <w:r>
        <w:t>AI-systemets formål er at hjælpe borgere med at udfylde pensionsansøgninger og foretage indledende vurdering af sagstype.</w:t>
      </w:r>
    </w:p>
    <w:p>
      <w:pPr>
        <w:pStyle w:val="Heading1"/>
      </w:pPr>
      <w:r>
        <w:t>1. Beskrivelse af AI-systemet</w:t>
      </w:r>
    </w:p>
    <w:p>
      <w:r>
        <w:t>Borgerassistenten er en AI-drevet tjeneste der profiler borgere baseret på deres ansøgningsdata. Systemet anvender machine learning-modeller til at klassificere ansøgningstyper og foretager helautomatiserede afgørelser om tildeling.</w:t>
      </w:r>
    </w:p>
    <w:p>
      <w:pPr>
        <w:pStyle w:val="Heading1"/>
      </w:pPr>
      <w:r>
        <w:t>2. Behandling af personoplysninger</w:t>
      </w:r>
    </w:p>
    <w:p>
      <w:r>
        <w:t>Systemet behandler personoplysninger herunder CPR-nummer, indkomstdata og helbredsoplysninger. Behandlingen sker i fuldt automatiseret flow uden menneskelig indgriben.</w:t>
      </w:r>
    </w:p>
    <w:p>
      <w:pPr>
        <w:pStyle w:val="Heading1"/>
      </w:pPr>
      <w:r>
        <w:t>3. Anvendelsesområde</w:t>
      </w:r>
    </w:p>
    <w:p>
      <w:r>
        <w:t>Anvendelsen er omfattet af AI-forordningens Bilag III som væsentlig offentlig tjeneste. Borgere kan anmode om at bestride afgørelsen.</w:t>
      </w:r>
    </w:p>
    <w:p>
      <w:pPr>
        <w:pStyle w:val="Heading1"/>
      </w:pPr>
      <w:r>
        <w:t>4. Skriftlige afgørelser</w:t>
      </w:r>
    </w:p>
    <w:p>
      <w:r>
        <w:t>Systemet genererer skriftlige afgørelser med begrundelse til borgeren. Forvaltningslovens § 22 og § 24 finder anvendelse.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