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sz w:val="34"/>
        </w:rPr>
        <w:t>Bank and NBFC Registration Details</w:t>
      </w:r>
    </w:p>
    <w:p>
      <w:pPr>
        <w:spacing w:after="300"/>
        <w:jc w:val="center"/>
      </w:pPr>
      <w:r>
        <w:rPr>
          <w:rFonts w:ascii="Arial" w:hAnsi="Arial"/>
          <w:b w:val="0"/>
          <w:color w:val="404040"/>
          <w:sz w:val="21"/>
        </w:rPr>
        <w:t>Requirements for finance partner onboarding on ITTOX ITOVA</w:t>
      </w:r>
    </w:p>
    <w:p>
      <w:r>
        <w:rPr>
          <w:rFonts w:ascii="Arial" w:hAnsi="Arial"/>
          <w:b/>
          <w:sz w:val="21"/>
        </w:rPr>
        <w:t xml:space="preserve">Purpose. </w:t>
      </w:r>
      <w:r>
        <w:rPr>
          <w:rFonts w:ascii="Arial" w:hAnsi="Arial"/>
          <w:b w:val="0"/>
          <w:sz w:val="21"/>
        </w:rPr>
        <w:t>This checklist supports legal, regulatory, financial, operational, and technology due diligence before a bank, NBFC, or lending partner is approved to finance ITTOX ITOVA transactions.</w:t>
      </w:r>
    </w:p>
    <w:p>
      <w:pPr>
        <w:keepNext/>
        <w:spacing w:before="240" w:after="80"/>
      </w:pPr>
      <w:r>
        <w:rPr>
          <w:rFonts w:ascii="Arial" w:hAnsi="Arial"/>
          <w:b/>
          <w:sz w:val="25"/>
        </w:rPr>
        <w:t>1. Legal Identity and Regulatory Status</w:t>
      </w:r>
    </w:p>
    <w:p>
      <w:pPr>
        <w:spacing w:after="40" w:line="252" w:lineRule="auto"/>
        <w:ind w:left="403" w:hanging="245"/>
      </w:pPr>
      <w:r>
        <w:rPr>
          <w:rFonts w:ascii="Arial" w:hAnsi="Arial"/>
          <w:b w:val="0"/>
          <w:sz w:val="21"/>
        </w:rPr>
        <w:t xml:space="preserve">• </w:t>
      </w:r>
      <w:r>
        <w:rPr>
          <w:rFonts w:ascii="Arial" w:hAnsi="Arial"/>
          <w:b w:val="0"/>
          <w:sz w:val="21"/>
        </w:rPr>
        <w:t>Certificate of Incorporation, PAN, GST Registration Certificate, CIN, and registered-office address proof.</w:t>
      </w:r>
    </w:p>
    <w:p>
      <w:pPr>
        <w:spacing w:after="40" w:line="252" w:lineRule="auto"/>
        <w:ind w:left="403" w:hanging="245"/>
      </w:pPr>
      <w:r>
        <w:rPr>
          <w:rFonts w:ascii="Arial" w:hAnsi="Arial"/>
          <w:b w:val="0"/>
          <w:sz w:val="21"/>
        </w:rPr>
        <w:t xml:space="preserve">• </w:t>
      </w:r>
      <w:r>
        <w:rPr>
          <w:rFonts w:ascii="Arial" w:hAnsi="Arial"/>
          <w:b w:val="0"/>
          <w:sz w:val="21"/>
        </w:rPr>
        <w:t>Memorandum and Articles of Association.</w:t>
      </w:r>
    </w:p>
    <w:p>
      <w:pPr>
        <w:spacing w:after="40" w:line="252" w:lineRule="auto"/>
        <w:ind w:left="403" w:hanging="245"/>
      </w:pPr>
      <w:r>
        <w:rPr>
          <w:rFonts w:ascii="Arial" w:hAnsi="Arial"/>
          <w:b w:val="0"/>
          <w:sz w:val="21"/>
        </w:rPr>
        <w:t xml:space="preserve">• </w:t>
      </w:r>
      <w:r>
        <w:rPr>
          <w:rFonts w:ascii="Arial" w:hAnsi="Arial"/>
          <w:b w:val="0"/>
          <w:sz w:val="21"/>
        </w:rPr>
        <w:t>List of directors, key managerial personnel, and authorised signatories.</w:t>
      </w:r>
    </w:p>
    <w:p>
      <w:pPr>
        <w:spacing w:after="40" w:line="252" w:lineRule="auto"/>
        <w:ind w:left="403" w:hanging="245"/>
      </w:pPr>
      <w:r>
        <w:rPr>
          <w:rFonts w:ascii="Arial" w:hAnsi="Arial"/>
          <w:b w:val="0"/>
          <w:sz w:val="21"/>
        </w:rPr>
        <w:t xml:space="preserve">• </w:t>
      </w:r>
      <w:r>
        <w:rPr>
          <w:rFonts w:ascii="Arial" w:hAnsi="Arial"/>
          <w:b w:val="0"/>
          <w:sz w:val="21"/>
        </w:rPr>
        <w:t>Board Resolution or Power of Attorney authorising the nominated persons to execute agreements and operate the platform.</w:t>
      </w:r>
    </w:p>
    <w:p>
      <w:pPr>
        <w:spacing w:after="40" w:line="252" w:lineRule="auto"/>
        <w:ind w:left="403" w:hanging="245"/>
      </w:pPr>
      <w:r>
        <w:rPr>
          <w:rFonts w:ascii="Arial" w:hAnsi="Arial"/>
          <w:b w:val="0"/>
          <w:sz w:val="21"/>
        </w:rPr>
        <w:t xml:space="preserve">• </w:t>
      </w:r>
      <w:r>
        <w:rPr>
          <w:rFonts w:ascii="Arial" w:hAnsi="Arial"/>
          <w:b w:val="0"/>
          <w:sz w:val="21"/>
        </w:rPr>
        <w:t>RBI Certificate of Registration for NBFCs.</w:t>
      </w:r>
    </w:p>
    <w:p>
      <w:pPr>
        <w:spacing w:after="40" w:line="252" w:lineRule="auto"/>
        <w:ind w:left="403" w:hanging="245"/>
      </w:pPr>
      <w:r>
        <w:rPr>
          <w:rFonts w:ascii="Arial" w:hAnsi="Arial"/>
          <w:b w:val="0"/>
          <w:sz w:val="21"/>
        </w:rPr>
        <w:t xml:space="preserve">• </w:t>
      </w:r>
      <w:r>
        <w:rPr>
          <w:rFonts w:ascii="Arial" w:hAnsi="Arial"/>
          <w:b w:val="0"/>
          <w:sz w:val="21"/>
        </w:rPr>
        <w:t>RBI banking licence details for banks, including scheduled-bank status where applicable.</w:t>
      </w:r>
    </w:p>
    <w:p>
      <w:pPr>
        <w:spacing w:after="40" w:line="252" w:lineRule="auto"/>
        <w:ind w:left="403" w:hanging="245"/>
      </w:pPr>
      <w:r>
        <w:rPr>
          <w:rFonts w:ascii="Arial" w:hAnsi="Arial"/>
          <w:b w:val="0"/>
          <w:sz w:val="21"/>
        </w:rPr>
        <w:t xml:space="preserve">• </w:t>
      </w:r>
      <w:r>
        <w:rPr>
          <w:rFonts w:ascii="Arial" w:hAnsi="Arial"/>
          <w:b w:val="0"/>
          <w:sz w:val="21"/>
        </w:rPr>
        <w:t>Latest RBI licence or registration validity and permitted lending activities.</w:t>
      </w:r>
    </w:p>
    <w:p>
      <w:pPr>
        <w:spacing w:after="40" w:line="252" w:lineRule="auto"/>
        <w:ind w:left="403" w:hanging="245"/>
      </w:pPr>
      <w:r>
        <w:rPr>
          <w:rFonts w:ascii="Arial" w:hAnsi="Arial"/>
          <w:b w:val="0"/>
          <w:sz w:val="21"/>
        </w:rPr>
        <w:t xml:space="preserve">• </w:t>
      </w:r>
      <w:r>
        <w:rPr>
          <w:rFonts w:ascii="Arial" w:hAnsi="Arial"/>
          <w:b w:val="0"/>
          <w:sz w:val="21"/>
        </w:rPr>
        <w:t>Details of material RBI restriction, supervisory action, merger, insolvency, or litigation.</w:t>
      </w:r>
    </w:p>
    <w:p>
      <w:pPr>
        <w:keepNext/>
        <w:spacing w:before="240" w:after="80"/>
      </w:pPr>
      <w:r>
        <w:rPr>
          <w:rFonts w:ascii="Arial" w:hAnsi="Arial"/>
          <w:b/>
          <w:sz w:val="25"/>
        </w:rPr>
        <w:t>2. Financial Strength and Credit Profile</w:t>
      </w:r>
    </w:p>
    <w:p>
      <w:pPr>
        <w:spacing w:after="40" w:line="252" w:lineRule="auto"/>
        <w:ind w:left="403" w:hanging="245"/>
      </w:pPr>
      <w:r>
        <w:rPr>
          <w:rFonts w:ascii="Arial" w:hAnsi="Arial"/>
          <w:b w:val="0"/>
          <w:sz w:val="21"/>
        </w:rPr>
        <w:t xml:space="preserve">• </w:t>
      </w:r>
      <w:r>
        <w:rPr>
          <w:rFonts w:ascii="Arial" w:hAnsi="Arial"/>
          <w:b w:val="0"/>
          <w:sz w:val="21"/>
        </w:rPr>
        <w:t>Audited financial statements for the latest three financial years.</w:t>
      </w:r>
    </w:p>
    <w:p>
      <w:pPr>
        <w:spacing w:after="40" w:line="252" w:lineRule="auto"/>
        <w:ind w:left="403" w:hanging="245"/>
      </w:pPr>
      <w:r>
        <w:rPr>
          <w:rFonts w:ascii="Arial" w:hAnsi="Arial"/>
          <w:b w:val="0"/>
          <w:sz w:val="21"/>
        </w:rPr>
        <w:t xml:space="preserve">• </w:t>
      </w:r>
      <w:r>
        <w:rPr>
          <w:rFonts w:ascii="Arial" w:hAnsi="Arial"/>
          <w:b w:val="0"/>
          <w:sz w:val="21"/>
        </w:rPr>
        <w:t>Latest quarterly or provisional financial results.</w:t>
      </w:r>
    </w:p>
    <w:p>
      <w:pPr>
        <w:spacing w:after="40" w:line="252" w:lineRule="auto"/>
        <w:ind w:left="403" w:hanging="245"/>
      </w:pPr>
      <w:r>
        <w:rPr>
          <w:rFonts w:ascii="Arial" w:hAnsi="Arial"/>
          <w:b w:val="0"/>
          <w:sz w:val="21"/>
        </w:rPr>
        <w:t xml:space="preserve">• </w:t>
      </w:r>
      <w:r>
        <w:rPr>
          <w:rFonts w:ascii="Arial" w:hAnsi="Arial"/>
          <w:b w:val="0"/>
          <w:sz w:val="21"/>
        </w:rPr>
        <w:t>Net Owned Fund details for NBFCs and capital adequacy or CRAR details.</w:t>
      </w:r>
    </w:p>
    <w:p>
      <w:pPr>
        <w:spacing w:after="40" w:line="252" w:lineRule="auto"/>
        <w:ind w:left="403" w:hanging="245"/>
      </w:pPr>
      <w:r>
        <w:rPr>
          <w:rFonts w:ascii="Arial" w:hAnsi="Arial"/>
          <w:b w:val="0"/>
          <w:sz w:val="21"/>
        </w:rPr>
        <w:t xml:space="preserve">• </w:t>
      </w:r>
      <w:r>
        <w:rPr>
          <w:rFonts w:ascii="Arial" w:hAnsi="Arial"/>
          <w:b w:val="0"/>
          <w:sz w:val="21"/>
        </w:rPr>
        <w:t>Gross and Net NPA data for the latest three years.</w:t>
      </w:r>
    </w:p>
    <w:p>
      <w:pPr>
        <w:spacing w:after="40" w:line="252" w:lineRule="auto"/>
        <w:ind w:left="403" w:hanging="245"/>
      </w:pPr>
      <w:r>
        <w:rPr>
          <w:rFonts w:ascii="Arial" w:hAnsi="Arial"/>
          <w:b w:val="0"/>
          <w:sz w:val="21"/>
        </w:rPr>
        <w:t xml:space="preserve">• </w:t>
      </w:r>
      <w:r>
        <w:rPr>
          <w:rFonts w:ascii="Arial" w:hAnsi="Arial"/>
          <w:b w:val="0"/>
          <w:sz w:val="21"/>
        </w:rPr>
        <w:t>Credit-rating reports, annual report, and latest investor presentation, where applicable.</w:t>
      </w:r>
    </w:p>
    <w:p>
      <w:pPr>
        <w:spacing w:after="40" w:line="252" w:lineRule="auto"/>
        <w:ind w:left="403" w:hanging="245"/>
      </w:pPr>
      <w:r>
        <w:rPr>
          <w:rFonts w:ascii="Arial" w:hAnsi="Arial"/>
          <w:b w:val="0"/>
          <w:sz w:val="21"/>
        </w:rPr>
        <w:t xml:space="preserve">• </w:t>
      </w:r>
      <w:r>
        <w:rPr>
          <w:rFonts w:ascii="Arial" w:hAnsi="Arial"/>
          <w:b w:val="0"/>
          <w:sz w:val="21"/>
        </w:rPr>
        <w:t>Current lending-book size and MSME or supply-chain finance portfolio.</w:t>
      </w:r>
    </w:p>
    <w:p>
      <w:pPr>
        <w:spacing w:after="40" w:line="252" w:lineRule="auto"/>
        <w:ind w:left="403" w:hanging="245"/>
      </w:pPr>
      <w:r>
        <w:rPr>
          <w:rFonts w:ascii="Arial" w:hAnsi="Arial"/>
          <w:b w:val="0"/>
          <w:sz w:val="21"/>
        </w:rPr>
        <w:t xml:space="preserve">• </w:t>
      </w:r>
      <w:r>
        <w:rPr>
          <w:rFonts w:ascii="Arial" w:hAnsi="Arial"/>
          <w:b w:val="0"/>
          <w:sz w:val="21"/>
        </w:rPr>
        <w:t>Existing bank lines, refinancing facilities, and borrowing profile.</w:t>
      </w:r>
    </w:p>
    <w:p>
      <w:pPr>
        <w:spacing w:after="40" w:line="252" w:lineRule="auto"/>
        <w:ind w:left="403" w:hanging="245"/>
      </w:pPr>
      <w:r>
        <w:rPr>
          <w:rFonts w:ascii="Arial" w:hAnsi="Arial"/>
          <w:b w:val="0"/>
          <w:sz w:val="21"/>
        </w:rPr>
        <w:t xml:space="preserve">• </w:t>
      </w:r>
      <w:r>
        <w:rPr>
          <w:rFonts w:ascii="Arial" w:hAnsi="Arial"/>
          <w:b w:val="0"/>
          <w:sz w:val="21"/>
        </w:rPr>
        <w:t>Details of material defaults, restructuring, write-offs, or regulatory penalties.</w:t>
      </w:r>
    </w:p>
    <w:p>
      <w:pPr>
        <w:keepNext/>
        <w:spacing w:before="240" w:after="80"/>
      </w:pPr>
      <w:r>
        <w:rPr>
          <w:rFonts w:ascii="Arial" w:hAnsi="Arial"/>
          <w:b/>
          <w:sz w:val="25"/>
        </w:rPr>
        <w:t>3. Banking and Settlement Details</w:t>
      </w:r>
    </w:p>
    <w:p>
      <w:pPr>
        <w:spacing w:after="40" w:line="252" w:lineRule="auto"/>
        <w:ind w:left="403" w:hanging="245"/>
      </w:pPr>
      <w:r>
        <w:rPr>
          <w:rFonts w:ascii="Arial" w:hAnsi="Arial"/>
          <w:b w:val="0"/>
          <w:sz w:val="21"/>
        </w:rPr>
        <w:t xml:space="preserve">• </w:t>
      </w:r>
      <w:r>
        <w:rPr>
          <w:rFonts w:ascii="Arial" w:hAnsi="Arial"/>
          <w:b w:val="0"/>
          <w:sz w:val="21"/>
        </w:rPr>
        <w:t>Cancelled cheque and bank-account confirmation letter.</w:t>
      </w:r>
    </w:p>
    <w:p>
      <w:pPr>
        <w:spacing w:after="40" w:line="252" w:lineRule="auto"/>
        <w:ind w:left="403" w:hanging="245"/>
      </w:pPr>
      <w:r>
        <w:rPr>
          <w:rFonts w:ascii="Arial" w:hAnsi="Arial"/>
          <w:b w:val="0"/>
          <w:sz w:val="21"/>
        </w:rPr>
        <w:t xml:space="preserve">• </w:t>
      </w:r>
      <w:r>
        <w:rPr>
          <w:rFonts w:ascii="Arial" w:hAnsi="Arial"/>
          <w:b w:val="0"/>
          <w:sz w:val="21"/>
        </w:rPr>
        <w:t>Bank name, branch, account number, IFSC, account type, and beneficiary name.</w:t>
      </w:r>
    </w:p>
    <w:p>
      <w:pPr>
        <w:spacing w:after="40" w:line="252" w:lineRule="auto"/>
        <w:ind w:left="403" w:hanging="245"/>
      </w:pPr>
      <w:r>
        <w:rPr>
          <w:rFonts w:ascii="Arial" w:hAnsi="Arial"/>
          <w:b w:val="0"/>
          <w:sz w:val="21"/>
        </w:rPr>
        <w:t xml:space="preserve">• </w:t>
      </w:r>
      <w:r>
        <w:rPr>
          <w:rFonts w:ascii="Arial" w:hAnsi="Arial"/>
          <w:b w:val="0"/>
          <w:sz w:val="21"/>
        </w:rPr>
        <w:t>Settlement-account details for borrower disbursement, collections, refunds, and reconciliation.</w:t>
      </w:r>
    </w:p>
    <w:p>
      <w:pPr>
        <w:spacing w:after="40" w:line="252" w:lineRule="auto"/>
        <w:ind w:left="403" w:hanging="245"/>
      </w:pPr>
      <w:r>
        <w:rPr>
          <w:rFonts w:ascii="Arial" w:hAnsi="Arial"/>
          <w:b w:val="0"/>
          <w:sz w:val="21"/>
        </w:rPr>
        <w:t xml:space="preserve">• </w:t>
      </w:r>
      <w:r>
        <w:rPr>
          <w:rFonts w:ascii="Arial" w:hAnsi="Arial"/>
          <w:b w:val="0"/>
          <w:sz w:val="21"/>
        </w:rPr>
        <w:t>Nodal or escrow account details, if proposed.</w:t>
      </w:r>
    </w:p>
    <w:p>
      <w:pPr>
        <w:spacing w:after="40" w:line="252" w:lineRule="auto"/>
        <w:ind w:left="403" w:hanging="245"/>
      </w:pPr>
      <w:r>
        <w:rPr>
          <w:rFonts w:ascii="Arial" w:hAnsi="Arial"/>
          <w:b w:val="0"/>
          <w:sz w:val="21"/>
        </w:rPr>
        <w:t xml:space="preserve">• </w:t>
      </w:r>
      <w:r>
        <w:rPr>
          <w:rFonts w:ascii="Arial" w:hAnsi="Arial"/>
          <w:b w:val="0"/>
          <w:sz w:val="21"/>
        </w:rPr>
        <w:t>Authorised signatory and maker-checker mandate for payment instructions.</w:t>
      </w:r>
    </w:p>
    <w:p>
      <w:pPr>
        <w:spacing w:after="40" w:line="252" w:lineRule="auto"/>
        <w:ind w:left="403" w:hanging="245"/>
      </w:pPr>
      <w:r>
        <w:rPr>
          <w:rFonts w:ascii="Arial" w:hAnsi="Arial"/>
          <w:b w:val="0"/>
          <w:sz w:val="21"/>
        </w:rPr>
        <w:t xml:space="preserve">• </w:t>
      </w:r>
      <w:r>
        <w:rPr>
          <w:rFonts w:ascii="Arial" w:hAnsi="Arial"/>
          <w:b w:val="0"/>
          <w:sz w:val="21"/>
        </w:rPr>
        <w:t>Bank statement or banker confirmation for settlement account, where required.</w:t>
      </w:r>
    </w:p>
    <w:p>
      <w:pPr>
        <w:spacing w:after="40" w:line="252" w:lineRule="auto"/>
        <w:ind w:left="403" w:hanging="245"/>
      </w:pPr>
      <w:r>
        <w:rPr>
          <w:rFonts w:ascii="Arial" w:hAnsi="Arial"/>
          <w:b w:val="0"/>
          <w:sz w:val="21"/>
        </w:rPr>
        <w:t xml:space="preserve">• </w:t>
      </w:r>
      <w:r>
        <w:rPr>
          <w:rFonts w:ascii="Arial" w:hAnsi="Arial"/>
          <w:b w:val="0"/>
          <w:sz w:val="21"/>
        </w:rPr>
        <w:t>Reconciliation and settlement-cycle confirmation.</w:t>
      </w:r>
    </w:p>
    <w:p>
      <w:pPr>
        <w:keepNext/>
        <w:spacing w:before="240" w:after="80"/>
      </w:pPr>
      <w:r>
        <w:rPr>
          <w:rFonts w:ascii="Arial" w:hAnsi="Arial"/>
          <w:b/>
          <w:sz w:val="25"/>
        </w:rPr>
        <w:t>4. Lending Product and Commercial Terms</w:t>
      </w:r>
    </w:p>
    <w:p>
      <w:pPr>
        <w:spacing w:after="40" w:line="252" w:lineRule="auto"/>
        <w:ind w:left="403" w:hanging="245"/>
      </w:pPr>
      <w:r>
        <w:rPr>
          <w:rFonts w:ascii="Arial" w:hAnsi="Arial"/>
          <w:b w:val="0"/>
          <w:sz w:val="21"/>
        </w:rPr>
        <w:t xml:space="preserve">• </w:t>
      </w:r>
      <w:r>
        <w:rPr>
          <w:rFonts w:ascii="Arial" w:hAnsi="Arial"/>
          <w:b w:val="0"/>
          <w:sz w:val="21"/>
        </w:rPr>
        <w:t>Product note covering the proposed finance facility.</w:t>
      </w:r>
    </w:p>
    <w:p>
      <w:pPr>
        <w:spacing w:after="40" w:line="252" w:lineRule="auto"/>
        <w:ind w:left="403" w:hanging="245"/>
      </w:pPr>
      <w:r>
        <w:rPr>
          <w:rFonts w:ascii="Arial" w:hAnsi="Arial"/>
          <w:b w:val="0"/>
          <w:sz w:val="21"/>
        </w:rPr>
        <w:t xml:space="preserve">• </w:t>
      </w:r>
      <w:r>
        <w:rPr>
          <w:rFonts w:ascii="Arial" w:hAnsi="Arial"/>
          <w:b w:val="0"/>
          <w:sz w:val="21"/>
        </w:rPr>
        <w:t>Applicable borrower category: vendor, customer, material supplier, or transaction-specific SPV.</w:t>
      </w:r>
    </w:p>
    <w:p>
      <w:pPr>
        <w:spacing w:after="40" w:line="252" w:lineRule="auto"/>
        <w:ind w:left="403" w:hanging="245"/>
      </w:pPr>
      <w:r>
        <w:rPr>
          <w:rFonts w:ascii="Arial" w:hAnsi="Arial"/>
          <w:b w:val="0"/>
          <w:sz w:val="21"/>
        </w:rPr>
        <w:t xml:space="preserve">• </w:t>
      </w:r>
      <w:r>
        <w:rPr>
          <w:rFonts w:ascii="Arial" w:hAnsi="Arial"/>
          <w:b w:val="0"/>
          <w:sz w:val="21"/>
        </w:rPr>
        <w:t>Facility type: purchase-order finance, invoice finance, bill discounting, working capital, term loan, overdraft, or supply-chain finance.</w:t>
      </w:r>
    </w:p>
    <w:p>
      <w:pPr>
        <w:spacing w:after="40" w:line="252" w:lineRule="auto"/>
        <w:ind w:left="403" w:hanging="245"/>
      </w:pPr>
      <w:r>
        <w:rPr>
          <w:rFonts w:ascii="Arial" w:hAnsi="Arial"/>
          <w:b w:val="0"/>
          <w:sz w:val="21"/>
        </w:rPr>
        <w:t xml:space="preserve">• </w:t>
      </w:r>
      <w:r>
        <w:rPr>
          <w:rFonts w:ascii="Arial" w:hAnsi="Arial"/>
          <w:b w:val="0"/>
          <w:sz w:val="21"/>
        </w:rPr>
        <w:t>Minimum and maximum ticket size; exposure limits per vendor, customer, transaction, and group.</w:t>
      </w:r>
    </w:p>
    <w:p>
      <w:pPr>
        <w:spacing w:after="40" w:line="252" w:lineRule="auto"/>
        <w:ind w:left="403" w:hanging="245"/>
      </w:pPr>
      <w:r>
        <w:rPr>
          <w:rFonts w:ascii="Arial" w:hAnsi="Arial"/>
          <w:b w:val="0"/>
          <w:sz w:val="21"/>
        </w:rPr>
        <w:t xml:space="preserve">• </w:t>
      </w:r>
      <w:r>
        <w:rPr>
          <w:rFonts w:ascii="Arial" w:hAnsi="Arial"/>
          <w:b w:val="0"/>
          <w:sz w:val="21"/>
        </w:rPr>
        <w:t>Margin requirement, interest rate, fees, charges, tenure, repayment method, and prepayment terms.</w:t>
      </w:r>
    </w:p>
    <w:p>
      <w:pPr>
        <w:spacing w:after="40" w:line="252" w:lineRule="auto"/>
        <w:ind w:left="403" w:hanging="245"/>
      </w:pPr>
      <w:r>
        <w:rPr>
          <w:rFonts w:ascii="Arial" w:hAnsi="Arial"/>
          <w:b w:val="0"/>
          <w:sz w:val="21"/>
        </w:rPr>
        <w:t xml:space="preserve">• </w:t>
      </w:r>
      <w:r>
        <w:rPr>
          <w:rFonts w:ascii="Arial" w:hAnsi="Arial"/>
          <w:b w:val="0"/>
          <w:sz w:val="21"/>
        </w:rPr>
        <w:t>Security, collateral, guarantees, receivable assignment, or escrow requirements.</w:t>
      </w:r>
    </w:p>
    <w:p>
      <w:pPr>
        <w:spacing w:after="40" w:line="252" w:lineRule="auto"/>
        <w:ind w:left="403" w:hanging="245"/>
      </w:pPr>
      <w:r>
        <w:rPr>
          <w:rFonts w:ascii="Arial" w:hAnsi="Arial"/>
          <w:b w:val="0"/>
          <w:sz w:val="21"/>
        </w:rPr>
        <w:t xml:space="preserve">• </w:t>
      </w:r>
      <w:r>
        <w:rPr>
          <w:rFonts w:ascii="Arial" w:hAnsi="Arial"/>
          <w:b w:val="0"/>
          <w:sz w:val="21"/>
        </w:rPr>
        <w:t>Financing percentage against PO, invoice, accepted inspection, or delivery confirmation.</w:t>
      </w:r>
    </w:p>
    <w:p>
      <w:pPr>
        <w:spacing w:after="40" w:line="252" w:lineRule="auto"/>
        <w:ind w:left="403" w:hanging="245"/>
      </w:pPr>
      <w:r>
        <w:rPr>
          <w:rFonts w:ascii="Arial" w:hAnsi="Arial"/>
          <w:b w:val="0"/>
          <w:sz w:val="21"/>
        </w:rPr>
        <w:t xml:space="preserve">• </w:t>
      </w:r>
      <w:r>
        <w:rPr>
          <w:rFonts w:ascii="Arial" w:hAnsi="Arial"/>
          <w:b w:val="0"/>
          <w:sz w:val="21"/>
        </w:rPr>
        <w:t>Approval TAT, disbursement TAT, renewal process, default, recovery, and legal-recourse process.</w:t>
      </w:r>
    </w:p>
    <w:p>
      <w:pPr>
        <w:keepNext/>
        <w:spacing w:before="240" w:after="80"/>
      </w:pPr>
      <w:r>
        <w:rPr>
          <w:rFonts w:ascii="Arial" w:hAnsi="Arial"/>
          <w:b/>
          <w:sz w:val="25"/>
        </w:rPr>
        <w:t>5. ITTOX Transaction and Risk Process</w:t>
      </w:r>
    </w:p>
    <w:p>
      <w:pPr>
        <w:spacing w:after="40" w:line="252" w:lineRule="auto"/>
        <w:ind w:left="403" w:hanging="245"/>
      </w:pPr>
      <w:r>
        <w:rPr>
          <w:rFonts w:ascii="Arial" w:hAnsi="Arial"/>
          <w:b w:val="0"/>
          <w:sz w:val="21"/>
        </w:rPr>
        <w:t xml:space="preserve">• </w:t>
      </w:r>
      <w:r>
        <w:rPr>
          <w:rFonts w:ascii="Arial" w:hAnsi="Arial"/>
          <w:b w:val="0"/>
          <w:sz w:val="21"/>
        </w:rPr>
        <w:t>Defined finance-release trigger: customer PO, vendor acceptance, material dispatch, inspection approval, customer acceptance, invoice, or payment confirmation.</w:t>
      </w:r>
    </w:p>
    <w:p>
      <w:pPr>
        <w:spacing w:after="40" w:line="252" w:lineRule="auto"/>
        <w:ind w:left="403" w:hanging="245"/>
      </w:pPr>
      <w:r>
        <w:rPr>
          <w:rFonts w:ascii="Arial" w:hAnsi="Arial"/>
          <w:b w:val="0"/>
          <w:sz w:val="21"/>
        </w:rPr>
        <w:t xml:space="preserve">• </w:t>
      </w:r>
      <w:r>
        <w:rPr>
          <w:rFonts w:ascii="Arial" w:hAnsi="Arial"/>
          <w:b w:val="0"/>
          <w:sz w:val="21"/>
        </w:rPr>
        <w:t>Required documents for each disbursement stage.</w:t>
      </w:r>
    </w:p>
    <w:p>
      <w:pPr>
        <w:spacing w:after="40" w:line="252" w:lineRule="auto"/>
        <w:ind w:left="403" w:hanging="245"/>
      </w:pPr>
      <w:r>
        <w:rPr>
          <w:rFonts w:ascii="Arial" w:hAnsi="Arial"/>
          <w:b w:val="0"/>
          <w:sz w:val="21"/>
        </w:rPr>
        <w:t xml:space="preserve">• </w:t>
      </w:r>
      <w:r>
        <w:rPr>
          <w:rFonts w:ascii="Arial" w:hAnsi="Arial"/>
          <w:b w:val="0"/>
          <w:sz w:val="21"/>
        </w:rPr>
        <w:t>Written confirmation of whose credit is underwritten: vendor, customer, or transaction receivable.</w:t>
      </w:r>
    </w:p>
    <w:p>
      <w:pPr>
        <w:spacing w:after="40" w:line="252" w:lineRule="auto"/>
        <w:ind w:left="403" w:hanging="245"/>
      </w:pPr>
      <w:r>
        <w:rPr>
          <w:rFonts w:ascii="Arial" w:hAnsi="Arial"/>
          <w:b w:val="0"/>
          <w:sz w:val="21"/>
        </w:rPr>
        <w:t xml:space="preserve">• </w:t>
      </w:r>
      <w:r>
        <w:rPr>
          <w:rFonts w:ascii="Arial" w:hAnsi="Arial"/>
          <w:b w:val="0"/>
          <w:sz w:val="21"/>
        </w:rPr>
        <w:t>Credit-assessment methodology and rules for vendor advance funding.</w:t>
      </w:r>
    </w:p>
    <w:p>
      <w:pPr>
        <w:spacing w:after="40" w:line="252" w:lineRule="auto"/>
        <w:ind w:left="403" w:hanging="245"/>
      </w:pPr>
      <w:r>
        <w:rPr>
          <w:rFonts w:ascii="Arial" w:hAnsi="Arial"/>
          <w:b w:val="0"/>
          <w:sz w:val="21"/>
        </w:rPr>
        <w:t xml:space="preserve">• </w:t>
      </w:r>
      <w:r>
        <w:rPr>
          <w:rFonts w:ascii="Arial" w:hAnsi="Arial"/>
          <w:b w:val="0"/>
          <w:sz w:val="21"/>
        </w:rPr>
        <w:t>Maximum funding percentage at each stage and balance-payment release conditions.</w:t>
      </w:r>
    </w:p>
    <w:p>
      <w:pPr>
        <w:spacing w:after="40" w:line="252" w:lineRule="auto"/>
        <w:ind w:left="403" w:hanging="245"/>
      </w:pPr>
      <w:r>
        <w:rPr>
          <w:rFonts w:ascii="Arial" w:hAnsi="Arial"/>
          <w:b w:val="0"/>
          <w:sz w:val="21"/>
        </w:rPr>
        <w:t xml:space="preserve">• </w:t>
      </w:r>
      <w:r>
        <w:rPr>
          <w:rFonts w:ascii="Arial" w:hAnsi="Arial"/>
          <w:b w:val="0"/>
          <w:sz w:val="21"/>
        </w:rPr>
        <w:t>Escrow, payment-routing, receivable-control, and portfolio-monitoring mechanism.</w:t>
      </w:r>
    </w:p>
    <w:p>
      <w:pPr>
        <w:spacing w:after="40" w:line="252" w:lineRule="auto"/>
        <w:ind w:left="403" w:hanging="245"/>
      </w:pPr>
      <w:r>
        <w:rPr>
          <w:rFonts w:ascii="Arial" w:hAnsi="Arial"/>
          <w:b w:val="0"/>
          <w:sz w:val="21"/>
        </w:rPr>
        <w:t xml:space="preserve">• </w:t>
      </w:r>
      <w:r>
        <w:rPr>
          <w:rFonts w:ascii="Arial" w:hAnsi="Arial"/>
          <w:b w:val="0"/>
          <w:sz w:val="21"/>
        </w:rPr>
        <w:t>Treatment of material rejection, delivery delay, quality claim, PO cancellation, invoice dispute, recovery, and recourse.</w:t>
      </w:r>
    </w:p>
    <w:p>
      <w:pPr>
        <w:keepNext/>
        <w:spacing w:before="240" w:after="80"/>
      </w:pPr>
      <w:r>
        <w:rPr>
          <w:rFonts w:ascii="Arial" w:hAnsi="Arial"/>
          <w:b/>
          <w:sz w:val="25"/>
        </w:rPr>
        <w:t>6. Compliance and KYC Framework</w:t>
      </w:r>
    </w:p>
    <w:p>
      <w:pPr>
        <w:spacing w:after="40" w:line="252" w:lineRule="auto"/>
        <w:ind w:left="403" w:hanging="245"/>
      </w:pPr>
      <w:r>
        <w:rPr>
          <w:rFonts w:ascii="Arial" w:hAnsi="Arial"/>
          <w:b w:val="0"/>
          <w:sz w:val="21"/>
        </w:rPr>
        <w:t xml:space="preserve">• </w:t>
      </w:r>
      <w:r>
        <w:rPr>
          <w:rFonts w:ascii="Arial" w:hAnsi="Arial"/>
          <w:b w:val="0"/>
          <w:sz w:val="21"/>
        </w:rPr>
        <w:t>RBI-compliant KYC and AML policy, Fair Practices Code, and credit-underwriting policy.</w:t>
      </w:r>
    </w:p>
    <w:p>
      <w:pPr>
        <w:spacing w:after="40" w:line="252" w:lineRule="auto"/>
        <w:ind w:left="403" w:hanging="245"/>
      </w:pPr>
      <w:r>
        <w:rPr>
          <w:rFonts w:ascii="Arial" w:hAnsi="Arial"/>
          <w:b w:val="0"/>
          <w:sz w:val="21"/>
        </w:rPr>
        <w:t xml:space="preserve">• </w:t>
      </w:r>
      <w:r>
        <w:rPr>
          <w:rFonts w:ascii="Arial" w:hAnsi="Arial"/>
          <w:b w:val="0"/>
          <w:sz w:val="21"/>
        </w:rPr>
        <w:t>Risk-management, data privacy, information-security, anti-bribery, anti-fraud, and conflict-of-interest policies.</w:t>
      </w:r>
    </w:p>
    <w:p>
      <w:pPr>
        <w:spacing w:after="40" w:line="252" w:lineRule="auto"/>
        <w:ind w:left="403" w:hanging="245"/>
      </w:pPr>
      <w:r>
        <w:rPr>
          <w:rFonts w:ascii="Arial" w:hAnsi="Arial"/>
          <w:b w:val="0"/>
          <w:sz w:val="21"/>
        </w:rPr>
        <w:t xml:space="preserve">• </w:t>
      </w:r>
      <w:r>
        <w:rPr>
          <w:rFonts w:ascii="Arial" w:hAnsi="Arial"/>
          <w:b w:val="0"/>
          <w:sz w:val="21"/>
        </w:rPr>
        <w:t>Grievance-redressal officer details, loan-recovery policy, and collection policy.</w:t>
      </w:r>
    </w:p>
    <w:p>
      <w:pPr>
        <w:spacing w:after="40" w:line="252" w:lineRule="auto"/>
        <w:ind w:left="403" w:hanging="245"/>
      </w:pPr>
      <w:r>
        <w:rPr>
          <w:rFonts w:ascii="Arial" w:hAnsi="Arial"/>
          <w:b w:val="0"/>
          <w:sz w:val="21"/>
        </w:rPr>
        <w:t xml:space="preserve">• </w:t>
      </w:r>
      <w:r>
        <w:rPr>
          <w:rFonts w:ascii="Arial" w:hAnsi="Arial"/>
          <w:b w:val="0"/>
          <w:sz w:val="21"/>
        </w:rPr>
        <w:t>Outsourcing or digital-lending policy, where applicable.</w:t>
      </w:r>
    </w:p>
    <w:p>
      <w:pPr>
        <w:spacing w:after="40" w:line="252" w:lineRule="auto"/>
        <w:ind w:left="403" w:hanging="245"/>
      </w:pPr>
      <w:r>
        <w:rPr>
          <w:rFonts w:ascii="Arial" w:hAnsi="Arial"/>
          <w:b w:val="0"/>
          <w:sz w:val="21"/>
        </w:rPr>
        <w:t xml:space="preserve">• </w:t>
      </w:r>
      <w:r>
        <w:rPr>
          <w:rFonts w:ascii="Arial" w:hAnsi="Arial"/>
          <w:b w:val="0"/>
          <w:sz w:val="21"/>
        </w:rPr>
        <w:t>Data-sharing consent, confidentiality agreement, cybersecurity, business-continuity policy, and insurance evidence, if available.</w:t>
      </w:r>
    </w:p>
    <w:p>
      <w:pPr>
        <w:keepNext/>
        <w:spacing w:before="240" w:after="80"/>
      </w:pPr>
      <w:r>
        <w:rPr>
          <w:rFonts w:ascii="Arial" w:hAnsi="Arial"/>
          <w:b/>
          <w:sz w:val="25"/>
        </w:rPr>
        <w:t>7. Technology and Integration Readiness</w:t>
      </w:r>
    </w:p>
    <w:p>
      <w:pPr>
        <w:spacing w:after="40" w:line="252" w:lineRule="auto"/>
        <w:ind w:left="403" w:hanging="245"/>
      </w:pPr>
      <w:r>
        <w:rPr>
          <w:rFonts w:ascii="Arial" w:hAnsi="Arial"/>
          <w:b w:val="0"/>
          <w:sz w:val="21"/>
        </w:rPr>
        <w:t xml:space="preserve">• </w:t>
      </w:r>
      <w:r>
        <w:rPr>
          <w:rFonts w:ascii="Arial" w:hAnsi="Arial"/>
          <w:b w:val="0"/>
          <w:sz w:val="21"/>
        </w:rPr>
        <w:t>Lending platform, LOS, and LMS details.</w:t>
      </w:r>
    </w:p>
    <w:p>
      <w:pPr>
        <w:spacing w:after="40" w:line="252" w:lineRule="auto"/>
        <w:ind w:left="403" w:hanging="245"/>
      </w:pPr>
      <w:r>
        <w:rPr>
          <w:rFonts w:ascii="Arial" w:hAnsi="Arial"/>
          <w:b w:val="0"/>
          <w:sz w:val="21"/>
        </w:rPr>
        <w:t xml:space="preserve">• </w:t>
      </w:r>
      <w:r>
        <w:rPr>
          <w:rFonts w:ascii="Arial" w:hAnsi="Arial"/>
          <w:b w:val="0"/>
          <w:sz w:val="21"/>
        </w:rPr>
        <w:t>API integration capability with ITTOX ITOVA.</w:t>
      </w:r>
    </w:p>
    <w:p>
      <w:pPr>
        <w:spacing w:after="40" w:line="252" w:lineRule="auto"/>
        <w:ind w:left="403" w:hanging="245"/>
      </w:pPr>
      <w:r>
        <w:rPr>
          <w:rFonts w:ascii="Arial" w:hAnsi="Arial"/>
          <w:b w:val="0"/>
          <w:sz w:val="21"/>
        </w:rPr>
        <w:t xml:space="preserve">• </w:t>
      </w:r>
      <w:r>
        <w:rPr>
          <w:rFonts w:ascii="Arial" w:hAnsi="Arial"/>
          <w:b w:val="0"/>
          <w:sz w:val="21"/>
        </w:rPr>
        <w:t>Digital KYC, e-sign, e-stamp, and document-management capability.</w:t>
      </w:r>
    </w:p>
    <w:p>
      <w:pPr>
        <w:spacing w:after="40" w:line="252" w:lineRule="auto"/>
        <w:ind w:left="403" w:hanging="245"/>
      </w:pPr>
      <w:r>
        <w:rPr>
          <w:rFonts w:ascii="Arial" w:hAnsi="Arial"/>
          <w:b w:val="0"/>
          <w:sz w:val="21"/>
        </w:rPr>
        <w:t xml:space="preserve">• </w:t>
      </w:r>
      <w:r>
        <w:rPr>
          <w:rFonts w:ascii="Arial" w:hAnsi="Arial"/>
          <w:b w:val="0"/>
          <w:sz w:val="21"/>
        </w:rPr>
        <w:t>Credit-bureau, GST, bank-statement, MCA, and account-aggregator data capability, if used.</w:t>
      </w:r>
    </w:p>
    <w:p>
      <w:pPr>
        <w:spacing w:after="40" w:line="252" w:lineRule="auto"/>
        <w:ind w:left="403" w:hanging="245"/>
      </w:pPr>
      <w:r>
        <w:rPr>
          <w:rFonts w:ascii="Arial" w:hAnsi="Arial"/>
          <w:b w:val="0"/>
          <w:sz w:val="21"/>
        </w:rPr>
        <w:t xml:space="preserve">• </w:t>
      </w:r>
      <w:r>
        <w:rPr>
          <w:rFonts w:ascii="Arial" w:hAnsi="Arial"/>
          <w:b w:val="0"/>
          <w:sz w:val="21"/>
        </w:rPr>
        <w:t>Role-based access, audit trail, maker-checker controls, data-hosting location, security certifications, and incident-escalation procedure.</w:t>
      </w:r>
    </w:p>
    <w:p>
      <w:pPr>
        <w:spacing w:after="40" w:line="252" w:lineRule="auto"/>
        <w:ind w:left="403" w:hanging="245"/>
      </w:pPr>
      <w:r>
        <w:rPr>
          <w:rFonts w:ascii="Arial" w:hAnsi="Arial"/>
          <w:b w:val="0"/>
          <w:sz w:val="21"/>
        </w:rPr>
        <w:t xml:space="preserve">• </w:t>
      </w:r>
      <w:r>
        <w:rPr>
          <w:rFonts w:ascii="Arial" w:hAnsi="Arial"/>
          <w:b w:val="0"/>
          <w:sz w:val="21"/>
        </w:rPr>
        <w:t>Business, technology, operations, and compliance integration contacts.</w:t>
      </w:r>
    </w:p>
    <w:p>
      <w:pPr>
        <w:keepNext/>
        <w:spacing w:before="240" w:after="80"/>
      </w:pPr>
      <w:r>
        <w:rPr>
          <w:rFonts w:ascii="Arial" w:hAnsi="Arial"/>
          <w:b/>
          <w:sz w:val="25"/>
        </w:rPr>
        <w:t>8. Key Team and Responsible Persons</w:t>
      </w:r>
    </w:p>
    <w:tbl>
      <w:tblPr>
        <w:tblStyle w:val="TableGrid"/>
        <w:tblW w:type="auto" w:w="0"/>
        <w:jc w:val="center"/>
        <w:tblLook w:firstColumn="1" w:firstRow="1" w:lastColumn="0" w:lastRow="0" w:noHBand="0" w:noVBand="1" w:val="04A0"/>
      </w:tblPr>
      <w:tblGrid>
        <w:gridCol w:w="5040"/>
        <w:gridCol w:w="5040"/>
      </w:tblGrid>
      <w:tr>
        <w:tc>
          <w:tcPr>
            <w:tcW w:type="dxa" w:w="5040"/>
            <w:shd w:fill="1F4E7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rial" w:hAnsi="Arial"/>
                <w:b/>
                <w:color w:val="FFFFFF"/>
                <w:sz w:val="19"/>
              </w:rPr>
              <w:t>Function</w:t>
            </w:r>
          </w:p>
        </w:tc>
        <w:tc>
          <w:tcPr>
            <w:tcW w:type="dxa" w:w="5040"/>
            <w:shd w:fill="1F4E7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rial" w:hAnsi="Arial"/>
                <w:b/>
                <w:color w:val="FFFFFF"/>
                <w:sz w:val="19"/>
              </w:rPr>
              <w:t>Details to Obtain</w:t>
            </w:r>
          </w:p>
        </w:tc>
      </w:tr>
      <w:tr>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
              <w:rPr>
                <w:rFonts w:ascii="Arial" w:hAnsi="Arial"/>
                <w:b/>
                <w:sz w:val="18"/>
              </w:rPr>
              <w:t>Managing Director or Business Head</w:t>
            </w:r>
          </w:p>
        </w:tc>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
              <w:rPr>
                <w:rFonts w:ascii="Arial" w:hAnsi="Arial"/>
                <w:b w:val="0"/>
                <w:sz w:val="18"/>
              </w:rPr>
              <w:t>Name, designation, email, and mobile.</w:t>
            </w:r>
          </w:p>
        </w:tc>
      </w:tr>
      <w:tr>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EF4F8"/>
          </w:tcPr>
          <w:p>
            <w:pPr>
              <w:spacing w:after="0"/>
            </w:pPr>
            <w:r/>
            <w:r>
              <w:rPr>
                <w:rFonts w:ascii="Arial" w:hAnsi="Arial"/>
                <w:b/>
                <w:sz w:val="18"/>
              </w:rPr>
              <w:t>Authorised Signatory</w:t>
            </w:r>
          </w:p>
        </w:tc>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EF4F8"/>
          </w:tcPr>
          <w:p>
            <w:pPr>
              <w:spacing w:after="0"/>
            </w:pPr>
            <w:r/>
            <w:r>
              <w:rPr>
                <w:rFonts w:ascii="Arial" w:hAnsi="Arial"/>
                <w:b w:val="0"/>
                <w:sz w:val="18"/>
              </w:rPr>
              <w:t>Authority proof and signing limit.</w:t>
            </w:r>
          </w:p>
        </w:tc>
      </w:tr>
      <w:tr>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
              <w:rPr>
                <w:rFonts w:ascii="Arial" w:hAnsi="Arial"/>
                <w:b/>
                <w:sz w:val="18"/>
              </w:rPr>
              <w:t>Credit Head</w:t>
            </w:r>
          </w:p>
        </w:tc>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
              <w:rPr>
                <w:rFonts w:ascii="Arial" w:hAnsi="Arial"/>
                <w:b w:val="0"/>
                <w:sz w:val="18"/>
              </w:rPr>
              <w:t>Underwriting policy and approval authority.</w:t>
            </w:r>
          </w:p>
        </w:tc>
      </w:tr>
      <w:tr>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EF4F8"/>
          </w:tcPr>
          <w:p>
            <w:pPr>
              <w:spacing w:after="0"/>
            </w:pPr>
            <w:r/>
            <w:r>
              <w:rPr>
                <w:rFonts w:ascii="Arial" w:hAnsi="Arial"/>
                <w:b/>
                <w:sz w:val="18"/>
              </w:rPr>
              <w:t>Supply Chain Finance Head</w:t>
            </w:r>
          </w:p>
        </w:tc>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EF4F8"/>
          </w:tcPr>
          <w:p>
            <w:pPr>
              <w:spacing w:after="0"/>
            </w:pPr>
            <w:r/>
            <w:r>
              <w:rPr>
                <w:rFonts w:ascii="Arial" w:hAnsi="Arial"/>
                <w:b w:val="0"/>
                <w:sz w:val="18"/>
              </w:rPr>
              <w:t>Product ownership and transaction decision-making.</w:t>
            </w:r>
          </w:p>
        </w:tc>
      </w:tr>
      <w:tr>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
              <w:rPr>
                <w:rFonts w:ascii="Arial" w:hAnsi="Arial"/>
                <w:b/>
                <w:sz w:val="18"/>
              </w:rPr>
              <w:t>Risk and Compliance Head</w:t>
            </w:r>
          </w:p>
        </w:tc>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
              <w:rPr>
                <w:rFonts w:ascii="Arial" w:hAnsi="Arial"/>
                <w:b w:val="0"/>
                <w:sz w:val="18"/>
              </w:rPr>
              <w:t>RBI compliance, KYC, AML, and policy responsibility.</w:t>
            </w:r>
          </w:p>
        </w:tc>
      </w:tr>
      <w:tr>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EF4F8"/>
          </w:tcPr>
          <w:p>
            <w:pPr>
              <w:spacing w:after="0"/>
            </w:pPr>
            <w:r/>
            <w:r>
              <w:rPr>
                <w:rFonts w:ascii="Arial" w:hAnsi="Arial"/>
                <w:b/>
                <w:sz w:val="18"/>
              </w:rPr>
              <w:t>Legal Head</w:t>
            </w:r>
          </w:p>
        </w:tc>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EF4F8"/>
          </w:tcPr>
          <w:p>
            <w:pPr>
              <w:spacing w:after="0"/>
            </w:pPr>
            <w:r/>
            <w:r>
              <w:rPr>
                <w:rFonts w:ascii="Arial" w:hAnsi="Arial"/>
                <w:b w:val="0"/>
                <w:sz w:val="18"/>
              </w:rPr>
              <w:t>Loan documentation, recovery, and dispute handling.</w:t>
            </w:r>
          </w:p>
        </w:tc>
      </w:tr>
      <w:tr>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
              <w:rPr>
                <w:rFonts w:ascii="Arial" w:hAnsi="Arial"/>
                <w:b/>
                <w:sz w:val="18"/>
              </w:rPr>
              <w:t>Operations Head</w:t>
            </w:r>
          </w:p>
        </w:tc>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
              <w:rPr>
                <w:rFonts w:ascii="Arial" w:hAnsi="Arial"/>
                <w:b w:val="0"/>
                <w:sz w:val="18"/>
              </w:rPr>
              <w:t>Disbursement, settlement, reconciliation, and TAT.</w:t>
            </w:r>
          </w:p>
        </w:tc>
      </w:tr>
      <w:tr>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EF4F8"/>
          </w:tcPr>
          <w:p>
            <w:pPr>
              <w:spacing w:after="0"/>
            </w:pPr>
            <w:r/>
            <w:r>
              <w:rPr>
                <w:rFonts w:ascii="Arial" w:hAnsi="Arial"/>
                <w:b/>
                <w:sz w:val="18"/>
              </w:rPr>
              <w:t>Collections Head</w:t>
            </w:r>
          </w:p>
        </w:tc>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EF4F8"/>
          </w:tcPr>
          <w:p>
            <w:pPr>
              <w:spacing w:after="0"/>
            </w:pPr>
            <w:r/>
            <w:r>
              <w:rPr>
                <w:rFonts w:ascii="Arial" w:hAnsi="Arial"/>
                <w:b w:val="0"/>
                <w:sz w:val="18"/>
              </w:rPr>
              <w:t>Delinquency handling and recovery process.</w:t>
            </w:r>
          </w:p>
        </w:tc>
      </w:tr>
      <w:tr>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
              <w:rPr>
                <w:rFonts w:ascii="Arial" w:hAnsi="Arial"/>
                <w:b/>
                <w:sz w:val="18"/>
              </w:rPr>
              <w:t>Technology Head</w:t>
            </w:r>
          </w:p>
        </w:tc>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
              <w:rPr>
                <w:rFonts w:ascii="Arial" w:hAnsi="Arial"/>
                <w:b w:val="0"/>
                <w:sz w:val="18"/>
              </w:rPr>
              <w:t>API, cybersecurity, and system integration.</w:t>
            </w:r>
          </w:p>
        </w:tc>
      </w:tr>
      <w:tr>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EF4F8"/>
          </w:tcPr>
          <w:p>
            <w:pPr>
              <w:spacing w:after="0"/>
            </w:pPr>
            <w:r/>
            <w:r>
              <w:rPr>
                <w:rFonts w:ascii="Arial" w:hAnsi="Arial"/>
                <w:b/>
                <w:sz w:val="18"/>
              </w:rPr>
              <w:t>Relationship Manager</w:t>
            </w:r>
          </w:p>
        </w:tc>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EF4F8"/>
          </w:tcPr>
          <w:p>
            <w:pPr>
              <w:spacing w:after="0"/>
            </w:pPr>
            <w:r/>
            <w:r>
              <w:rPr>
                <w:rFonts w:ascii="Arial" w:hAnsi="Arial"/>
                <w:b w:val="0"/>
                <w:sz w:val="18"/>
              </w:rPr>
              <w:t>Day-to-day ITTOX ITOVA coordination.</w:t>
            </w:r>
          </w:p>
        </w:tc>
      </w:tr>
      <w:tr>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
              <w:rPr>
                <w:rFonts w:ascii="Arial" w:hAnsi="Arial"/>
                <w:b/>
                <w:sz w:val="18"/>
              </w:rPr>
              <w:t>Finance and Reconciliation Contact</w:t>
            </w:r>
          </w:p>
        </w:tc>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
              <w:rPr>
                <w:rFonts w:ascii="Arial" w:hAnsi="Arial"/>
                <w:b w:val="0"/>
                <w:sz w:val="18"/>
              </w:rPr>
              <w:t>Settlement and accounting coordination.</w:t>
            </w:r>
          </w:p>
        </w:tc>
      </w:tr>
      <w:tr>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EF4F8"/>
          </w:tcPr>
          <w:p>
            <w:pPr>
              <w:spacing w:after="0"/>
            </w:pPr>
            <w:r/>
            <w:r>
              <w:rPr>
                <w:rFonts w:ascii="Arial" w:hAnsi="Arial"/>
                <w:b/>
                <w:sz w:val="18"/>
              </w:rPr>
              <w:t>Grievance Officer</w:t>
            </w:r>
          </w:p>
        </w:tc>
        <w:tc>
          <w:tcPr>
            <w:tcW w:type="dxa" w:w="504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EF4F8"/>
          </w:tcPr>
          <w:p>
            <w:pPr>
              <w:spacing w:after="0"/>
            </w:pPr>
            <w:r/>
            <w:r>
              <w:rPr>
                <w:rFonts w:ascii="Arial" w:hAnsi="Arial"/>
                <w:b w:val="0"/>
                <w:sz w:val="18"/>
              </w:rPr>
              <w:t>Borrower complaint escalation.</w:t>
            </w:r>
          </w:p>
        </w:tc>
      </w:tr>
    </w:tbl>
    <w:p>
      <w:pPr>
        <w:keepNext/>
        <w:spacing w:before="240" w:after="80"/>
      </w:pPr>
      <w:r>
        <w:rPr>
          <w:rFonts w:ascii="Arial" w:hAnsi="Arial"/>
          <w:b/>
          <w:sz w:val="25"/>
        </w:rPr>
        <w:t>9. Contracts and Declarations</w:t>
      </w:r>
    </w:p>
    <w:p>
      <w:pPr>
        <w:spacing w:after="40" w:line="252" w:lineRule="auto"/>
        <w:ind w:left="403" w:hanging="245"/>
      </w:pPr>
      <w:r>
        <w:rPr>
          <w:rFonts w:ascii="Arial" w:hAnsi="Arial"/>
          <w:b w:val="0"/>
          <w:sz w:val="21"/>
        </w:rPr>
        <w:t xml:space="preserve">• </w:t>
      </w:r>
      <w:r>
        <w:rPr>
          <w:rFonts w:ascii="Arial" w:hAnsi="Arial"/>
          <w:b w:val="0"/>
          <w:sz w:val="21"/>
        </w:rPr>
        <w:t>Signed Bank or NBFC Registration Form.</w:t>
      </w:r>
    </w:p>
    <w:p>
      <w:pPr>
        <w:spacing w:after="40" w:line="252" w:lineRule="auto"/>
        <w:ind w:left="403" w:hanging="245"/>
      </w:pPr>
      <w:r>
        <w:rPr>
          <w:rFonts w:ascii="Arial" w:hAnsi="Arial"/>
          <w:b w:val="0"/>
          <w:sz w:val="21"/>
        </w:rPr>
        <w:t xml:space="preserve">• </w:t>
      </w:r>
      <w:r>
        <w:rPr>
          <w:rFonts w:ascii="Arial" w:hAnsi="Arial"/>
          <w:b w:val="0"/>
          <w:sz w:val="21"/>
        </w:rPr>
        <w:t>Master Financing or Supply Chain Finance Agreement with ITTOX ITOVA.</w:t>
      </w:r>
    </w:p>
    <w:p>
      <w:pPr>
        <w:spacing w:after="40" w:line="252" w:lineRule="auto"/>
        <w:ind w:left="403" w:hanging="245"/>
      </w:pPr>
      <w:r>
        <w:rPr>
          <w:rFonts w:ascii="Arial" w:hAnsi="Arial"/>
          <w:b w:val="0"/>
          <w:sz w:val="21"/>
        </w:rPr>
        <w:t xml:space="preserve">• </w:t>
      </w:r>
      <w:r>
        <w:rPr>
          <w:rFonts w:ascii="Arial" w:hAnsi="Arial"/>
          <w:b w:val="0"/>
          <w:sz w:val="21"/>
        </w:rPr>
        <w:t>NDA and data-processing agreement.</w:t>
      </w:r>
    </w:p>
    <w:p>
      <w:pPr>
        <w:spacing w:after="40" w:line="252" w:lineRule="auto"/>
        <w:ind w:left="403" w:hanging="245"/>
      </w:pPr>
      <w:r>
        <w:rPr>
          <w:rFonts w:ascii="Arial" w:hAnsi="Arial"/>
          <w:b w:val="0"/>
          <w:sz w:val="21"/>
        </w:rPr>
        <w:t xml:space="preserve">• </w:t>
      </w:r>
      <w:r>
        <w:rPr>
          <w:rFonts w:ascii="Arial" w:hAnsi="Arial"/>
          <w:b w:val="0"/>
          <w:sz w:val="21"/>
        </w:rPr>
        <w:t>Consent for due diligence, audit, and periodic review.</w:t>
      </w:r>
    </w:p>
    <w:p>
      <w:pPr>
        <w:spacing w:after="40" w:line="252" w:lineRule="auto"/>
        <w:ind w:left="403" w:hanging="245"/>
      </w:pPr>
      <w:r>
        <w:rPr>
          <w:rFonts w:ascii="Arial" w:hAnsi="Arial"/>
          <w:b w:val="0"/>
          <w:sz w:val="21"/>
        </w:rPr>
        <w:t xml:space="preserve">• </w:t>
      </w:r>
      <w:r>
        <w:rPr>
          <w:rFonts w:ascii="Arial" w:hAnsi="Arial"/>
          <w:b w:val="0"/>
          <w:sz w:val="21"/>
        </w:rPr>
        <w:t>Service-level agreement defining approval and disbursement TAT.</w:t>
      </w:r>
    </w:p>
    <w:p>
      <w:pPr>
        <w:spacing w:after="40" w:line="252" w:lineRule="auto"/>
        <w:ind w:left="403" w:hanging="245"/>
      </w:pPr>
      <w:r>
        <w:rPr>
          <w:rFonts w:ascii="Arial" w:hAnsi="Arial"/>
          <w:b w:val="0"/>
          <w:sz w:val="21"/>
        </w:rPr>
        <w:t xml:space="preserve">• </w:t>
      </w:r>
      <w:r>
        <w:rPr>
          <w:rFonts w:ascii="Arial" w:hAnsi="Arial"/>
          <w:b w:val="0"/>
          <w:sz w:val="21"/>
        </w:rPr>
        <w:t>Fee-sharing or referral-fee arrangement, if any, subject to legal and regulatory review.</w:t>
      </w:r>
    </w:p>
    <w:p>
      <w:pPr>
        <w:spacing w:after="40" w:line="252" w:lineRule="auto"/>
        <w:ind w:left="403" w:hanging="245"/>
      </w:pPr>
      <w:r>
        <w:rPr>
          <w:rFonts w:ascii="Arial" w:hAnsi="Arial"/>
          <w:b w:val="0"/>
          <w:sz w:val="21"/>
        </w:rPr>
        <w:t xml:space="preserve">• </w:t>
      </w:r>
      <w:r>
        <w:rPr>
          <w:rFonts w:ascii="Arial" w:hAnsi="Arial"/>
          <w:b w:val="0"/>
          <w:sz w:val="21"/>
        </w:rPr>
        <w:t>Declaration of regulatory compliance, valid RBI permissions, and conflict of interest.</w:t>
      </w:r>
    </w:p>
    <w:p>
      <w:pPr>
        <w:spacing w:after="40" w:line="252" w:lineRule="auto"/>
        <w:ind w:left="403" w:hanging="245"/>
      </w:pPr>
      <w:r>
        <w:rPr>
          <w:rFonts w:ascii="Arial" w:hAnsi="Arial"/>
          <w:b w:val="0"/>
          <w:sz w:val="21"/>
        </w:rPr>
        <w:t xml:space="preserve">• </w:t>
      </w:r>
      <w:r>
        <w:rPr>
          <w:rFonts w:ascii="Arial" w:hAnsi="Arial"/>
          <w:b w:val="0"/>
          <w:sz w:val="21"/>
        </w:rPr>
        <w:t>Escalation matrix for transaction, technology, legal, and recovery matters.</w:t>
      </w:r>
    </w:p>
    <w:p>
      <w:pPr>
        <w:keepNext/>
        <w:spacing w:before="240" w:after="80"/>
      </w:pPr>
      <w:r>
        <w:rPr>
          <w:rFonts w:ascii="Arial" w:hAnsi="Arial"/>
          <w:b/>
          <w:sz w:val="25"/>
        </w:rPr>
        <w:t>10. Internal Approval Record for ITTOX ITOVA</w:t>
      </w:r>
    </w:p>
    <w:p>
      <w:pPr>
        <w:spacing w:after="40" w:line="252" w:lineRule="auto"/>
        <w:ind w:left="403" w:hanging="245"/>
      </w:pPr>
      <w:r>
        <w:rPr>
          <w:rFonts w:ascii="Arial" w:hAnsi="Arial"/>
          <w:b w:val="0"/>
          <w:sz w:val="21"/>
        </w:rPr>
        <w:t xml:space="preserve">• </w:t>
      </w:r>
      <w:r>
        <w:rPr>
          <w:rFonts w:ascii="Arial" w:hAnsi="Arial"/>
          <w:b w:val="0"/>
          <w:sz w:val="21"/>
        </w:rPr>
        <w:t>Legal and regulatory-verification status.</w:t>
      </w:r>
    </w:p>
    <w:p>
      <w:pPr>
        <w:spacing w:after="40" w:line="252" w:lineRule="auto"/>
        <w:ind w:left="403" w:hanging="245"/>
      </w:pPr>
      <w:r>
        <w:rPr>
          <w:rFonts w:ascii="Arial" w:hAnsi="Arial"/>
          <w:b w:val="0"/>
          <w:sz w:val="21"/>
        </w:rPr>
        <w:t xml:space="preserve">• </w:t>
      </w:r>
      <w:r>
        <w:rPr>
          <w:rFonts w:ascii="Arial" w:hAnsi="Arial"/>
          <w:b w:val="0"/>
          <w:sz w:val="21"/>
        </w:rPr>
        <w:t>Financial-strength and credit-rating assessment.</w:t>
      </w:r>
    </w:p>
    <w:p>
      <w:pPr>
        <w:spacing w:after="40" w:line="252" w:lineRule="auto"/>
        <w:ind w:left="403" w:hanging="245"/>
      </w:pPr>
      <w:r>
        <w:rPr>
          <w:rFonts w:ascii="Arial" w:hAnsi="Arial"/>
          <w:b w:val="0"/>
          <w:sz w:val="21"/>
        </w:rPr>
        <w:t xml:space="preserve">• </w:t>
      </w:r>
      <w:r>
        <w:rPr>
          <w:rFonts w:ascii="Arial" w:hAnsi="Arial"/>
          <w:b w:val="0"/>
          <w:sz w:val="21"/>
        </w:rPr>
        <w:t>Product suitability for vendor-advance finance and invoice finance.</w:t>
      </w:r>
    </w:p>
    <w:p>
      <w:pPr>
        <w:spacing w:after="40" w:line="252" w:lineRule="auto"/>
        <w:ind w:left="403" w:hanging="245"/>
      </w:pPr>
      <w:r>
        <w:rPr>
          <w:rFonts w:ascii="Arial" w:hAnsi="Arial"/>
          <w:b w:val="0"/>
          <w:sz w:val="21"/>
        </w:rPr>
        <w:t xml:space="preserve">• </w:t>
      </w:r>
      <w:r>
        <w:rPr>
          <w:rFonts w:ascii="Arial" w:hAnsi="Arial"/>
          <w:b w:val="0"/>
          <w:sz w:val="21"/>
        </w:rPr>
        <w:t>Pricing and commercial-terms comparison.</w:t>
      </w:r>
    </w:p>
    <w:p>
      <w:pPr>
        <w:spacing w:after="40" w:line="252" w:lineRule="auto"/>
        <w:ind w:left="403" w:hanging="245"/>
      </w:pPr>
      <w:r>
        <w:rPr>
          <w:rFonts w:ascii="Arial" w:hAnsi="Arial"/>
          <w:b w:val="0"/>
          <w:sz w:val="21"/>
        </w:rPr>
        <w:t xml:space="preserve">• </w:t>
      </w:r>
      <w:r>
        <w:rPr>
          <w:rFonts w:ascii="Arial" w:hAnsi="Arial"/>
          <w:b w:val="0"/>
          <w:sz w:val="21"/>
        </w:rPr>
        <w:t>Underwriting basis: vendor, customer, receivable, or collateral.</w:t>
      </w:r>
    </w:p>
    <w:p>
      <w:pPr>
        <w:spacing w:after="40" w:line="252" w:lineRule="auto"/>
        <w:ind w:left="403" w:hanging="245"/>
      </w:pPr>
      <w:r>
        <w:rPr>
          <w:rFonts w:ascii="Arial" w:hAnsi="Arial"/>
          <w:b w:val="0"/>
          <w:sz w:val="21"/>
        </w:rPr>
        <w:t xml:space="preserve">• </w:t>
      </w:r>
      <w:r>
        <w:rPr>
          <w:rFonts w:ascii="Arial" w:hAnsi="Arial"/>
          <w:b w:val="0"/>
          <w:sz w:val="21"/>
        </w:rPr>
        <w:t>Integration-readiness assessment, pilot-transaction approval, and initial exposure limit.</w:t>
      </w:r>
    </w:p>
    <w:p>
      <w:pPr>
        <w:spacing w:after="40" w:line="252" w:lineRule="auto"/>
        <w:ind w:left="403" w:hanging="245"/>
      </w:pPr>
      <w:r>
        <w:rPr>
          <w:rFonts w:ascii="Arial" w:hAnsi="Arial"/>
          <w:b w:val="0"/>
          <w:sz w:val="21"/>
        </w:rPr>
        <w:t xml:space="preserve">• </w:t>
      </w:r>
      <w:r>
        <w:rPr>
          <w:rFonts w:ascii="Arial" w:hAnsi="Arial"/>
          <w:b w:val="0"/>
          <w:sz w:val="21"/>
        </w:rPr>
        <w:t>Approved finance product, ticket size, financing percentage, review frequency, and performance scorecard.</w:t>
      </w:r>
    </w:p>
    <w:p>
      <w:pPr>
        <w:spacing w:after="40" w:line="252" w:lineRule="auto"/>
        <w:ind w:left="403" w:hanging="245"/>
      </w:pPr>
      <w:r>
        <w:rPr>
          <w:rFonts w:ascii="Arial" w:hAnsi="Arial"/>
          <w:b w:val="0"/>
          <w:sz w:val="21"/>
        </w:rPr>
        <w:t xml:space="preserve">• </w:t>
      </w:r>
      <w:r>
        <w:rPr>
          <w:rFonts w:ascii="Arial" w:hAnsi="Arial"/>
          <w:b w:val="0"/>
          <w:sz w:val="21"/>
        </w:rPr>
        <w:t>Partner category: Approved, Pilot Partner, Conditional Partner, or Not Approved.</w:t>
      </w:r>
    </w:p>
    <w:p>
      <w:pPr>
        <w:keepNext/>
        <w:spacing w:before="240" w:after="80"/>
      </w:pPr>
      <w:r>
        <w:rPr>
          <w:rFonts w:ascii="Arial" w:hAnsi="Arial"/>
          <w:b/>
          <w:sz w:val="25"/>
        </w:rPr>
        <w:t>Important Transaction Principle</w:t>
      </w:r>
    </w:p>
    <w:p>
      <w:r>
        <w:rPr>
          <w:rFonts w:ascii="Arial" w:hAnsi="Arial"/>
          <w:b/>
          <w:sz w:val="21"/>
        </w:rPr>
        <w:t>Before approval, obtain a written financing workflow clearly defining the borrower, credit basis, exact release trigger, percentage funded at each stage, repayment source, and the party bearing loss if delivery, quality, or customer payment fails.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7"/>
      </w:rPr>
      <w:t>Bank and NBFC Registration Details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