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000000"/>
          <w:sz w:val="34"/>
        </w:rPr>
        <w:t>Customer Registration Details</w:t>
      </w:r>
    </w:p>
    <w:p>
      <w:pPr>
        <w:spacing w:after="300"/>
        <w:jc w:val="center"/>
      </w:pPr>
      <w:r>
        <w:rPr>
          <w:rFonts w:ascii="Arial" w:hAnsi="Arial"/>
          <w:b w:val="0"/>
          <w:color w:val="404040"/>
          <w:sz w:val="21"/>
        </w:rPr>
        <w:t>Document and information requirements for customer onboarding on ITTOX ITOVA</w:t>
      </w:r>
    </w:p>
    <w:p>
      <w:pPr>
        <w:spacing w:after="140" w:line="264" w:lineRule="auto"/>
      </w:pPr>
      <w:r>
        <w:rPr>
          <w:rFonts w:ascii="Arial" w:hAnsi="Arial"/>
          <w:b/>
          <w:sz w:val="21"/>
        </w:rPr>
        <w:t xml:space="preserve">Purpose. </w:t>
      </w:r>
      <w:r>
        <w:rPr>
          <w:rFonts w:ascii="Arial" w:hAnsi="Arial"/>
          <w:sz w:val="21"/>
        </w:rPr>
        <w:t>This checklist defines the documents and information to be collected while registering a business customer. The requirements support legal verification, operational readiness, payment processing, and a proportionate assessment of credit risk.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1. Company Identity and Legal Registration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Certificate of Incorporation, Partnership Deed, or LLP Incorporation Certificate.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PAN card of the company or firm.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GST Registration Certificate.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CIN, LLPIN, or Udyam Registration, as applicable.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Memorandum and Articles of Association for private or public limited companies.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Registered office address proof.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List of directors, partners, or proprietor with authorised signatory details.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Board Resolution or Authorisation Letter permitting the nominated person to place orders and sign agreements.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2. Contact and Operational Details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Company profile and business address.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Factory and delivery locations.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Primary contact details for procurement, finance and accounts, quality, and logistics.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Nature of business, products manufactured, and annual procurement categories.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Technical approval or quality contact person.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Purchase order, invoice, and delivery address formats, if available.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3. Bank Documents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Cancelled cheque bearing the company name and account number.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Bank account confirmation letter or bank statement; latest three months preferred.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Bank name, branch, account number, IFSC, account type, and beneficiary name.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Bank mandate or authorised signatory letter for payment-related communications.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For large credit limits, banker reference letter, if available.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4. Financial Documents</w:t>
      </w:r>
    </w:p>
    <w:p>
      <w:pPr>
        <w:spacing w:after="60"/>
      </w:pPr>
      <w:r>
        <w:rPr>
          <w:rFonts w:ascii="Arial" w:hAnsi="Arial"/>
          <w:b/>
          <w:sz w:val="21"/>
        </w:rPr>
        <w:t>For normal registration, collect at least: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Audited financial statements for the latest two financial years, including Balance Sheet, Profit and Loss Account, and notes.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Latest provisional financials or management accounts, if audited accounts are older than six months.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Latest Income Tax Return acknowledgement.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GST returns, including GSTR 3B and GSTR 1 for the latest six months, where credit is requested.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Credit rating report, if available.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Existing working capital sanction letter or bank credit facility summary, if available.</w:t>
      </w:r>
    </w:p>
    <w:p>
      <w:pPr>
        <w:spacing w:before="120" w:after="60"/>
      </w:pPr>
      <w:r>
        <w:rPr>
          <w:rFonts w:ascii="Arial" w:hAnsi="Arial"/>
          <w:b/>
          <w:sz w:val="21"/>
        </w:rPr>
        <w:t>For higher exposure or deferred payment terms, additionally collect: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Last six to twelve months bank statements.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Trade references from two major suppliers.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Existing creditor ageing or outstanding payables statement.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Details of overdue statutory dues, loans, litigation, insolvency proceedings, or cheque return history.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Declaration of no wilful default and no insolvency or NCLT proceeding.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Credit insurance details, if any.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5. Commercial and Compliance Documents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Signed Customer Registration Form and KYC declaration.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Signed ITTOX Terms of Use or Master Service Agreement.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Credit application and requested credit limit or payment terms.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Purchase order terms and conditions.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GST and TDS declaration.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MSME status declaration.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Declaration on restricted or prohibited products and lawful end use.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Data consent and communication authorisation.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6. Quality and Transaction Specific Documents</w:t>
      </w:r>
    </w:p>
    <w:p>
      <w:pPr>
        <w:spacing w:after="60"/>
      </w:pPr>
      <w:r>
        <w:rPr>
          <w:rFonts w:ascii="Arial" w:hAnsi="Arial"/>
          <w:sz w:val="21"/>
        </w:rPr>
        <w:t>Collect these documents only where relevant to the proposed transaction: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Vendor approval criteria and quality requirements.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Drawings, specifications, BOM, standards, and inspection requirements.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NDA, IP ownership, and confidentiality agreement.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Delivery acceptance procedure and authorised inspection person details.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E way bill or GST transport responsibility confirmation.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Any sector specific approvals for railway, defence, automotive, medical, food, export, or other regulated sectors.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Recommended Approval Levels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Customer Category</w:t>
            </w:r>
          </w:p>
        </w:tc>
        <w:tc>
          <w:tcPr>
            <w:tcW w:type="dxa" w:w="72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Minimum Requirement</w:t>
            </w:r>
          </w:p>
        </w:tc>
      </w:tr>
      <w:t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Cash or advance customer</w:t>
            </w:r>
          </w:p>
        </w:tc>
        <w:tc>
          <w:tcPr>
            <w:tcW w:type="dxa" w:w="720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Legal KYC, GST and PAN, authorised signatory details, and cancelled cheque.</w:t>
            </w:r>
          </w:p>
        </w:tc>
      </w:tr>
      <w:tr>
        <w:tc>
          <w:tcPr>
            <w:tcW w:type="dxa" w:w="2520"/>
            <w:shd w:fill="EEF4F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15 to 30 day credit customer</w:t>
            </w:r>
          </w:p>
        </w:tc>
        <w:tc>
          <w:tcPr>
            <w:tcW w:type="dxa" w:w="7200"/>
            <w:shd w:fill="EEF4F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All above documents plus two year audited financials, ITR, GST returns, and bank statement.</w:t>
            </w:r>
          </w:p>
        </w:tc>
      </w:tr>
      <w:t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45 to 90 day credit customer</w:t>
            </w:r>
          </w:p>
        </w:tc>
        <w:tc>
          <w:tcPr>
            <w:tcW w:type="dxa" w:w="7200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All above documents plus trade references, credit report or rating, bank facility proof, and management approval.</w:t>
            </w:r>
          </w:p>
        </w:tc>
      </w:tr>
      <w:tr>
        <w:tc>
          <w:tcPr>
            <w:tcW w:type="dxa" w:w="2520"/>
            <w:shd w:fill="EEF4F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Large or strategic customer</w:t>
            </w:r>
          </w:p>
        </w:tc>
        <w:tc>
          <w:tcPr>
            <w:tcW w:type="dxa" w:w="7200"/>
            <w:shd w:fill="EEF4F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All above documents plus legal and compliance review, credit limit approval, and periodic financial review.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color w:val="000000"/>
          <w:sz w:val="25"/>
        </w:rPr>
        <w:t>Important Credit Assessment Note</w:t>
      </w:r>
    </w:p>
    <w:p>
      <w:pPr>
        <w:spacing w:after="0" w:line="264" w:lineRule="auto"/>
      </w:pPr>
      <w:r>
        <w:rPr>
          <w:rFonts w:ascii="Arial" w:hAnsi="Arial"/>
          <w:b/>
          <w:sz w:val="21"/>
        </w:rPr>
        <w:t xml:space="preserve">Customer bank details should be used mainly for refunds, credit notes, and verification. </w:t>
      </w:r>
      <w:r>
        <w:rPr>
          <w:rFonts w:ascii="Arial" w:hAnsi="Arial"/>
          <w:sz w:val="21"/>
        </w:rPr>
        <w:t>Creditworthiness should be assessed from audited financials, GST filing consistency, bank conduct, trade references, and payment history, rather than merely from a cancelled cheque.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Customer Registration Details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