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Insurance Policy in an Organization</w:t>
      </w:r>
    </w:p>
    <w:p>
      <w:r>
        <w:t>This document outlines a simple overview of a life insurance policy within an organization.</w:t>
        <w:br/>
        <w:br/>
        <w:t>1. Purpose of the Policy:</w:t>
        <w:br/>
        <w:t>The purpose of the life insurance policy is to provide financial protection to employees' beneficiaries in the event of an employee's death.</w:t>
        <w:br/>
        <w:br/>
        <w:t>2. Eligibility:</w:t>
        <w:br/>
        <w:t>All full-time employees are eligible for basic life insurance coverage provided by the organization. Additional voluntary coverage may be offered at the employee's expense.</w:t>
        <w:br/>
        <w:br/>
        <w:t>3. Coverage Amount:</w:t>
        <w:br/>
        <w:t>The standard coverage amount typically equals one to two times the employee's annual salary. Optional supplemental coverage may be available.</w:t>
        <w:br/>
        <w:br/>
        <w:t>4. Premiums:</w:t>
        <w:br/>
        <w:t>The organization covers the cost of basic coverage. Employees opting for additional coverage are responsible for the extra premium.</w:t>
        <w:br/>
        <w:br/>
        <w:t>5. Beneficiary Designation:</w:t>
        <w:br/>
        <w:t>Employees must designate one or more beneficiaries. Updates can be made at any time through the HR portal.</w:t>
        <w:br/>
        <w:br/>
        <w:t>6. Claims Process:</w:t>
        <w:br/>
        <w:t>In the event of a claim, beneficiaries must submit required documentation to HR or the insurance provider. The organization will assist in facilitating the claim process.</w:t>
        <w:br/>
        <w:br/>
        <w:t>7. Policy Review:</w:t>
        <w:br/>
        <w:t>The organization may periodically review and update the policy to ensure compliance with regulations and alignment with employee needs.</w:t>
        <w:br/>
        <w:br/>
        <w:t>This summary is intended for general guidance and does not replace the full official policy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