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2C4E"/>
          <w:sz w:val="36"/>
          <w:szCs w:val="36"/>
        </w:rPr>
        <w:t xml:space="preserve">L3 Principal Associate SDE</w:t>
      </w:r>
    </w:p>
    <w:p>
      <w:pPr>
        <w:spacing w:before="0" w:after="60"/>
      </w:pPr>
      <w:r>
        <w:rPr>
          <w:rFonts w:ascii="Arial" w:cs="Arial" w:eastAsia="Arial" w:hAnsi="Arial"/>
          <w:color w:val="555555"/>
          <w:sz w:val="22"/>
          <w:szCs w:val="22"/>
        </w:rPr>
        <w:t xml:space="preserve">Competency Evidence Tracker  |  Coaching Plan Period: 6 - 31 March 2026</w:t>
      </w:r>
    </w:p>
    <w:p>
      <w:pPr>
        <w:spacing w:before="0" w:after="200"/>
      </w:pPr>
      <w:r>
        <w:rPr>
          <w:rFonts w:ascii="Arial" w:cs="Arial" w:eastAsia="Arial" w:hAnsi="Arial"/>
          <w:i/>
          <w:iCs/>
          <w:color w:val="555555"/>
          <w:sz w:val="20"/>
          <w:szCs w:val="20"/>
        </w:rPr>
        <w:t xml:space="preserve">Parthiban Rajasekaran  |  Weekly check-in with Kaj Bansal (EM)</w:t>
      </w:r>
    </w:p>
    <w:p>
      <w:pPr>
        <w:pBdr>
          <w:bottom w:val="single" w:color="CCCCCC" w:sz="4"/>
        </w:pBdr>
        <w:spacing w:before="160" w:after="160"/>
      </w:pPr>
    </w:p>
    <w:p>
      <w:pPr>
        <w:spacing w:before="320" w:after="120"/>
      </w:pPr>
      <w:r>
        <w:rPr>
          <w:rFonts w:ascii="Arial" w:cs="Arial" w:eastAsia="Arial" w:hAnsi="Arial"/>
          <w:b/>
          <w:bCs/>
          <w:color w:val="C8102E"/>
          <w:sz w:val="28"/>
          <w:szCs w:val="28"/>
        </w:rPr>
        <w:t xml:space="preserve">Purpose of this document</w:t>
      </w:r>
    </w:p>
    <w:p>
      <w:pPr>
        <w:spacing w:before="60" w:after="60"/>
      </w:pPr>
      <w:r>
        <w:rPr>
          <w:rFonts w:ascii="Arial" w:cs="Arial" w:eastAsia="Arial" w:hAnsi="Arial"/>
          <w:b w:val="false"/>
          <w:bCs w:val="false"/>
          <w:i w:val="false"/>
          <w:iCs w:val="false"/>
          <w:sz w:val="20"/>
          <w:szCs w:val="20"/>
        </w:rPr>
        <w:t xml:space="preserve">This tracker maps demonstrated evidence from the trial period (19 January to 31 March 2026) against every L3 Engineer III competency defined in Capital One UK's Engineering Levelling Guide. It is structured to support weekly check-in conversations with Kaj, track progress on remaining gaps, and produce a clear, evidence-based picture for the end-of-March evaluation.</w:t>
      </w:r>
    </w:p>
    <w:p>
      <w:pPr>
        <w:spacing w:before="60" w:after="60"/>
      </w:pPr>
      <w:r>
        <w:rPr>
          <w:rFonts w:ascii="Arial" w:cs="Arial" w:eastAsia="Arial" w:hAnsi="Arial"/>
          <w:b w:val="false"/>
          <w:bCs w:val="false"/>
          <w:i w:val="false"/>
          <w:iCs w:val="false"/>
          <w:sz w:val="20"/>
          <w:szCs w:val="20"/>
        </w:rPr>
        <w:t xml:space="preserve">Bring this document to every weekly check-in. Update the Delivered column in the weekly tracker after each session.</w:t>
      </w:r>
    </w:p>
    <w:p>
      <w:pPr>
        <w:pBdr>
          <w:bottom w:val="single" w:color="CCCCCC" w:sz="4"/>
        </w:pBdr>
        <w:spacing w:before="160" w:after="160"/>
      </w:pPr>
    </w:p>
    <w:p>
      <w:pPr>
        <w:spacing w:before="320" w:after="120"/>
      </w:pPr>
      <w:r>
        <w:rPr>
          <w:rFonts w:ascii="Arial" w:cs="Arial" w:eastAsia="Arial" w:hAnsi="Arial"/>
          <w:b/>
          <w:bCs/>
          <w:color w:val="C8102E"/>
          <w:sz w:val="28"/>
          <w:szCs w:val="28"/>
        </w:rPr>
        <w:t xml:space="preserve">Status Legend</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tblGrid>
      <w:tr>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DEMONSTRATED</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Evidence exists from trial period. Bring to check-in as claimed competency.</w:t>
            </w:r>
          </w:p>
        </w:tc>
      </w:tr>
      <w:tr>
        <w:tc>
          <w:tcPr>
            <w:tcW w:type="dxa" w:w="9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8"/>
                <w:szCs w:val="18"/>
              </w:rPr>
              <w:t xml:space="preserve">IN PROGRESS</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Partial evidence exists. Specific action needed before 31 March.</w:t>
            </w:r>
          </w:p>
        </w:tc>
      </w:tr>
      <w:tr>
        <w:tc>
          <w:tcPr>
            <w:tcW w:type="dxa" w:w="9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color w:val="721C24"/>
                <w:sz w:val="18"/>
                <w:szCs w:val="18"/>
              </w:rPr>
              <w:t xml:space="preserve">GAP</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evidence yet. Priority action required before end of March.</w:t>
            </w:r>
          </w:p>
        </w:tc>
      </w:tr>
    </w:tbl>
    <w:p>
      <w:pPr>
        <w:pBdr>
          <w:bottom w:val="single" w:color="CCCCCC" w:sz="4"/>
        </w:pBdr>
        <w:spacing w:before="160" w:after="160"/>
      </w:pPr>
    </w:p>
    <w:p>
      <w:pPr>
        <w:spacing w:before="320" w:after="120"/>
      </w:pPr>
      <w:r>
        <w:rPr>
          <w:rFonts w:ascii="Arial" w:cs="Arial" w:eastAsia="Arial" w:hAnsi="Arial"/>
          <w:b/>
          <w:bCs/>
          <w:color w:val="C8102E"/>
          <w:sz w:val="28"/>
          <w:szCs w:val="28"/>
        </w:rPr>
        <w:t xml:space="preserve">Section 1: Competency Evidence Map</w:t>
      </w:r>
    </w:p>
    <w:p>
      <w:pPr>
        <w:spacing w:before="60" w:after="60"/>
      </w:pPr>
      <w:r>
        <w:rPr>
          <w:rFonts w:ascii="Arial" w:cs="Arial" w:eastAsia="Arial" w:hAnsi="Arial"/>
          <w:b w:val="false"/>
          <w:bCs w:val="false"/>
          <w:i/>
          <w:iCs/>
          <w:sz w:val="20"/>
          <w:szCs w:val="20"/>
        </w:rPr>
        <w:t xml:space="preserve">Evidence drawn from: dev journal (Google Sheets), Windsurf PR analysis (7 commits, 53 files, +2,781/-466 lines, Feb 12 - Mar 4 2026), completed Jira tickets, and OKR coaching plan objectives.</w:t>
      </w:r>
    </w:p>
    <w:p>
      <w:pPr>
        <w:spacing w:before="120" w:after="0"/>
      </w:pP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COMMUNICATION</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Persuasive Communication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Dev journal shared with Kaj, Rich, and Rob translates technical delivery into stakeholder-readable narrative. UKCLM-11407 entry documents navigation of three-way stakeholder disagreement (Toby, Manny, original implementation) and convergence on a mergeable solution.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Capture one example of translating a technical decision into a business-impact narrative for Rich or Rob directly.</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Bring one stakeholder communication example to each check-in.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Constructive Feedback</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IN PROGRESS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Feedback integration is evidenced (UKCLM-11407 reversions, design team screenshot review). Providing outward feedback to peers not yet formally recorded.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One documented code review comment that improved a peer's implementation.</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Aim to leave at least one substantive code review comment per week.</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CUSTOMER FOCUSED</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Ownership Mentality</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SonarQube code duplication fix proactively addressed a codebase health issue across CashAdvance and OpenBanking screens beyond the immediate ticket scope. API Gateway dormancy work completed end-to-end including risk team approval and Phoenix sign-off.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None material. Continue evidencing cross-ticket ownership.</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Note one example per week where you went beyond the ticket scope.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Customer Outcomes</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Error toast duration fix (5s to 3s) documented with before/after rationale and localisation decision to protect other screens. iClip fallback decision tree (404 vs 500 handling) directly protects customer journey continuity on financial product screens.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Add explicit customer impact language to journal entries going forward.</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Frame one completed task in terms of customer outcome at each check-in.</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INFLUENCE</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Technical Leadership</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IClipQuestionLayout refactor eliminated ~200 lines of duplication across two screens and introduced reusable IClipQuestionScreenConfig and IClipQuestionOption patterns. Proactively adopted Screen/Layout architectural split on IClipIntro beyond the immediate ticket.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Document the IClipQuestionLayout pattern in a short Confluence page so the contribution becomes a team asset.</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Confluence pattern page to be drafted by w/c 16 March.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Enterprise Tools and Processes</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IN PROGRESS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Active use of Windsurf and GitHub Copilot in daily workflow. Organised GitHub Copilot and K6 hackathon with outcomes presented to leadership during Mission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Document 3 specific AI use cases (KR 4.2) showing productivity gain. Share with Kaj as part of Objective 3 evidence.</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One AI use case documented per week for three weeks.</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JUDGMENT</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Sound Judgement</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UKCLM-11407 feature toggle revert: identified Toby's concern about static approach, reverted, re-implemented with dynamic feature flag variable. Scope creep on UKCLM-11461 confirmed with Product Owner before proceeding rather than absorbing or escalating noisily.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None material. Continue making decision rationale explicit in journal entries.</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Record one trade-off decision with its rationale each week.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Proactive Risk Identification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SonarQube duplication flagged and resolved before it became a review blocker. API Gateway dormancy risk escalated to risk team and Phoenix with appropriate evidence trail. iClip 404 vs 500 error distinction prevents ineligible journey being shown on server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None material. Observability gap (no structured error telemetry) is an opportunity to demonstrate further risk identification.</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Propose CoroutineExceptionHandler addition to Kaj as proactive reliability improvement.</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LIVES THE VALUES</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Cross-Domain Learning</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Transitioned from QE Manager to Android mobile engineering and delivered 7 commits, 53 files changed, +2,781/-466 lines including production-ready features with full test coverage. Actively pursuing AI Engineering / ML Foundations certification (KR 4.1).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Complete Tech College AI Engineering path before 31 March to close KR 4.1.</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Update Kaj on Tech College progress at each check-in.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Knowledge Sharing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IN PROGRESS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Dev journal shared with Kaj, Rich, Rob is a knowledge-sharing artefact. External publishing (Medium, DZone, published book) evidences broader knowledge dissemination.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One internal Engineering Handbook or Confluence contribution before 31 March. The IClipQuestionLayout pattern page satisfies this directly.</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Confluence page drafted by w/c 16 March.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Mentorship</w:t>
            </w:r>
          </w:p>
        </w:tc>
        <w:tc>
          <w:tcPr>
            <w:tcW w:type="dxa" w:w="9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GAP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No formal mentorship activity recorded in the trial period to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One pairing session or knowledge-sharing conversation with a junior engineer, documented in journal.</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Identify one junior engineer to pair with before 21 March.</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PROBLEM SOLVING</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Technical Debt Identification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SonarQube duplication warning identified across IClipCashAdvanceLayout and IClipOpenBankingLayout (16-18% duplication). Root cause diagnosed, abstraction designed (IClipQuestionLayout composable), implemented, and merged 4 March 2026. PR: comobileapp/pull/7826.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None. This is a strong, documented example. Reference it explicitly with Kaj.</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Present this entry as a primary coaching plan evidence item.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Analytical Thinking</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Offer fallback decision tree in IClipNavigationViewModel: pClip check, iClip fallback, 404 vs 500 distinct handling. Click To Pay SLO creation from BA requirements with data retrieval verification. Error toast UX analysis (5s vs 3s timing).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Add CoroutineExceptionHandler to address uncaught exception silencing - a further analytical improvement opportunity.</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CoroutineExceptionHandler implementation targeted for w/c 16 March.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Innersourcing</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IN PROGRESS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COScaffold adoption (Capital One internal design system) across all screens evidences reuse of internal shared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Identify and note one further innersource component evaluated or reused in upcoming tickets.</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Add innersource note to journal for next suitable ticket.</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RESULTS FOCUSED</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Project / Feature Leadership</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OKRs co-authored with Kaj and tracked weekly. End-to-end delivery of iClip interactive feature across ViewModel, UI, repository, and test layers. UKCLM-11461 scope creep managed with Product Owner sign-off.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iOS delivery (KR 1.3) is the one open key result. Pick up one iOS ticket before 21 March.</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iOS ticket status to be reported at each check-in.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Technical Design and Implementation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Screen/Layout architectural split applied to IClipIntro. IClipNavigationState sealed state machine. IClipQuestionLayout generic composable with IClipQuestionScreenConfig data class. ~57 tests across unit, integration, and UI layers with BDD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ADR (Architecture Decision Record) for the pClip/iClip routing decision would elevate this to Principal level visibility.</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One-page ADR drafted by w/c 23 March.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Service Quality</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IN PROGRESS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Click To Pay RVT fallback completed with evidence (4 Feb). SLOs created for Click To Pay Counslr (27 Jan). API Gateway dormancy deactivation with risk team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Map completed RVT and SLO work against the formal SRE handover checklist. Share mapping with Kaj as KR 2.2 evidence.</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SRE checklist mapping to be shared with Kaj by 13 March.</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TEAMWORK</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Cross-Functional Interaction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Coordinated with SRE team (RVT scheduling, Cloud Doctor sessions), risk team (API Gateway), Phoenix team (dormancy approval), design team (progress bar review), Omnia (feature toggle implementation), Product Owner (UKCLM-11461 scope creep sign-off).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None material. Continue evidencing cross-functional touchpoints in journal.</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Note one cross-functional interaction per week.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Team Player</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856404"/>
                <w:sz w:val="16"/>
                <w:szCs w:val="16"/>
              </w:rPr>
              <w:t xml:space="preserve">IN PROGRESS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Collaborated with Rhian (Execution Plan approval), Alex Smith (query review), Kiros (iClip journey requirement). Active in stand-ups and sprint ceremonies.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Formal code review participation as reviewer not yet evidenced. One substantive code review comment per week would directly close this.</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One code review as reviewer per week.</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30"/>
        <w:gridCol w:w="2000"/>
        <w:gridCol w:w="1430"/>
      </w:tblGrid>
      <w:tr>
        <w:tc>
          <w:tcPr>
            <w:tcW w:type="dxa" w:w="9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JOB SPECIFIC SKILLS</w:t>
            </w:r>
          </w:p>
        </w:tc>
      </w:tr>
      <w:tr>
        <w:tc>
          <w:tcPr>
            <w:tcW w:type="dxa" w:w="16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3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Evidence from Trial Period (Jan-Mar 2026)</w:t>
            </w:r>
          </w:p>
        </w:tc>
        <w:tc>
          <w:tcPr>
            <w:tcW w:type="dxa" w:w="200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Gap / Next Step</w:t>
            </w:r>
          </w:p>
        </w:tc>
        <w:tc>
          <w:tcPr>
            <w:tcW w:type="dxa" w:w="1430"/>
            <w:tcBorders>
              <w:top w:val="single" w:color="CCCCCC" w:sz="1"/>
              <w:left w:val="single" w:color="CCCCCC" w:sz="1"/>
              <w:bottom w:val="single" w:color="CCCCCC" w:sz="1"/>
              <w:right w:val="single" w:color="CCCCCC" w:sz="1"/>
            </w:tcBorders>
            <w:shd w:fill="2E4070"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Weekly Check-in Target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System Design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IClipQuestionLayout composable with generic type constraint. IClipNavigationState data class. Screen/Layout separation pattern. Offer fallback decision tree design. All demonstrate design of moderately complex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Formalise one design decision as an ADR to make design thinking explicitly visible.</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ADR targeted for w/c 23 March.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Programming and Scripting</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Kotlin throughout: data classes, sealed enums, operator fun invoke(), extension functions, runCatching, BigDecimal. Jetpack Compose with StateFlow, Hilt DI, Coroutines, RxJava 3, Navigation Component. 7 commits, 53 files, +2,781 lines of production-quality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None. This is the strongest area of demonstrated evidence.</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Reference specific Kotlin patterns in weekly delivery update.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Testing and Validation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~57 tests across IClipIncreaseAmountViewModelTest (22 tests), IClipNavigationViewModelTest (12 nested), ClipOfferViewModelNewCreditLimitSimpleTest (5), GetIClipOfferTest (3), ClipRepositoryTest (9), ICLIPTest UI (6). BDD GIVEN/WHEN/THEN throughout. Parameterised tests via @CsvSource. Null safety, edge cases, state transitions, error paths all covered.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Snapshot/screenshot tests for Compose UI regression would add further depth.</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Explore one snapshot test addition on upcoming UI work.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Observability</w:t>
            </w:r>
          </w:p>
        </w:tc>
        <w:tc>
          <w:tcPr>
            <w:tcW w:type="dxa" w:w="900"/>
            <w:tcBorders>
              <w:top w:val="single" w:color="CCCCCC" w:sz="1"/>
              <w:left w:val="single" w:color="CCCCCC" w:sz="1"/>
              <w:bottom w:val="single" w:color="CCCCCC" w:sz="1"/>
              <w:right w:val="single" w:color="CCCCCC" w:sz="1"/>
            </w:tcBorders>
            <w:shd w:fill="F8D7DA" w:val="clear"/>
            <w:tcMar>
              <w:top w:type="dxa" w:w="80"/>
              <w:left w:type="dxa" w:w="80"/>
              <w:bottom w:type="dxa" w:w="80"/>
              <w:right w:type="dxa" w:w="80"/>
            </w:tcMar>
            <w:vAlign w:val="center"/>
          </w:tcPr>
          <w:p>
            <w:pPr>
              <w:jc w:val="center"/>
            </w:pPr>
            <w:r>
              <w:rPr>
                <w:rFonts w:ascii="Arial" w:cs="Arial" w:eastAsia="Arial" w:hAnsi="Arial"/>
                <w:b/>
                <w:bCs/>
                <w:color w:val="721C24"/>
                <w:sz w:val="16"/>
                <w:szCs w:val="16"/>
              </w:rPr>
              <w:t xml:space="preserve">GAP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Analytics events present. No structured error telemetry or CoroutineExceptionHandler on viewModelScope.launch. Uncaught exceptions would crash silently in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Add CoroutineExceptionHandler and a structured logging hook to ViewModel. This closes the gap and demonstrates proactive reliability thinking.</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CoroutineExceptionHandler implementation targeted for w/c 16 March. Update Kaj on progress.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Infrastructure</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API Gateway dormancy (deactivation request, policy, risk team coordination). CloudWatch and Cloud Doctor sessions with SRE team. SLO creation for Click To Pay Counslr. RVT fallback with evidence capture.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None material for L3 scope.</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Continue noting AWS/cloud touchpoints in journal.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1A2C4E"/>
                <w:sz w:val="18"/>
                <w:szCs w:val="18"/>
              </w:rPr>
              <w:t xml:space="preserve">CI/CD and Development Tools</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DEMONSTRATED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7PS CI/CD platform experience from prior role. Active use of GitHub (5,200+ contributions), Jira workflow (tickets linked in journal), Windsurf and Copilot in daily coding workflow. PRs reviewed and merged through internal Capital One 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18"/>
                <w:szCs w:val="18"/>
              </w:rPr>
              <w:t xml:space="preserve">None for L3 scope.</w:t>
            </w:r>
          </w:p>
        </w:tc>
        <w:tc>
          <w:tcPr>
            <w:tcW w:type="dxa" w:w="143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r>
              <w:rPr>
                <w:rFonts w:ascii="Arial" w:cs="Arial" w:eastAsia="Arial" w:hAnsi="Arial"/>
                <w:sz w:val="18"/>
                <w:szCs w:val="18"/>
              </w:rPr>
              <w:t xml:space="preserve">Document one AI-assisted workflow improvement as KR 4.2 use case.</w:t>
            </w:r>
          </w:p>
        </w:tc>
      </w:tr>
    </w:tbl>
    <w:p>
      <w:pPr>
        <w:pBdr>
          <w:bottom w:val="single" w:color="CCCCCC" w:sz="4"/>
        </w:pBdr>
        <w:spacing w:before="160" w:after="160"/>
      </w:pPr>
    </w:p>
    <w:p>
      <w:pPr>
        <w:spacing w:before="320" w:after="120"/>
      </w:pPr>
      <w:r>
        <w:rPr>
          <w:rFonts w:ascii="Arial" w:cs="Arial" w:eastAsia="Arial" w:hAnsi="Arial"/>
          <w:b/>
          <w:bCs/>
          <w:color w:val="C8102E"/>
          <w:sz w:val="28"/>
          <w:szCs w:val="28"/>
        </w:rPr>
        <w:t xml:space="preserve">Section 2: Weekly Check-in Tracker</w:t>
      </w:r>
    </w:p>
    <w:p>
      <w:pPr>
        <w:spacing w:before="60" w:after="60"/>
      </w:pPr>
      <w:r>
        <w:rPr>
          <w:rFonts w:ascii="Arial" w:cs="Arial" w:eastAsia="Arial" w:hAnsi="Arial"/>
          <w:b w:val="false"/>
          <w:bCs w:val="false"/>
          <w:i w:val="false"/>
          <w:iCs w:val="false"/>
          <w:sz w:val="20"/>
          <w:szCs w:val="20"/>
        </w:rPr>
        <w:t xml:space="preserve">Use this table to record what was delivered each week, which competency it evidences, and any blockers to raise with Kaj. Fill in the right three columns at or after each check-in.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1800"/>
        <w:gridCol w:w="1360"/>
      </w:tblGrid>
      <w:tr>
        <w:tc>
          <w:tcPr>
            <w:tcW w:type="dxa" w:w="120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Priority Focus</w:t>
            </w:r>
          </w:p>
        </w:tc>
        <w:tc>
          <w:tcPr>
            <w:tcW w:type="dxa" w:w="250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Delivered This Week</w:t>
            </w:r>
          </w:p>
        </w:tc>
        <w:tc>
          <w:tcPr>
            <w:tcW w:type="dxa" w:w="180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 Evidenced</w:t>
            </w:r>
          </w:p>
        </w:tc>
        <w:tc>
          <w:tcPr>
            <w:tcW w:type="dxa" w:w="1360"/>
            <w:tcBorders>
              <w:top w:val="single" w:color="CCCCCC" w:sz="1"/>
              <w:left w:val="single" w:color="CCCCCC" w:sz="1"/>
              <w:bottom w:val="single" w:color="CCCCCC" w:sz="1"/>
              <w:right w:val="single" w:color="CCCCCC" w:sz="1"/>
            </w:tcBorders>
            <w:shd w:fill="1A2C4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Blockers / Support Needed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9-13 Mar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SRE checklist mapping (KR 2.2) | AI use case 1 (KR 4.2) | iOS ticket identified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16-20 Mar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CoroutineExceptionHandler implementation | Confluence pattern page | AI use case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23-27 Mar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ADR for pClip/iClip routing | iOS PR merged or in review | AI use case 3 | Tech College progress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28-31 Mar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Final evidence consolidation | Coaching plan evaluation input | OKR completion summary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pBdr>
          <w:bottom w:val="single" w:color="CCCCCC" w:sz="4"/>
        </w:pBdr>
        <w:spacing w:before="160" w:after="160"/>
      </w:pPr>
    </w:p>
    <w:p>
      <w:pPr>
        <w:spacing w:before="320" w:after="120"/>
      </w:pPr>
      <w:r>
        <w:rPr>
          <w:rFonts w:ascii="Arial" w:cs="Arial" w:eastAsia="Arial" w:hAnsi="Arial"/>
          <w:b/>
          <w:bCs/>
          <w:color w:val="C8102E"/>
          <w:sz w:val="28"/>
          <w:szCs w:val="28"/>
        </w:rPr>
        <w:t xml:space="preserve">Section 3: Priority Closing Actions Before 31 March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1800"/>
      </w:tblGrid>
      <w:tr>
        <w:tc>
          <w:tcPr>
            <w:tcW w:type="dxa" w:w="12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Competency / KR Closed</w:t>
            </w:r>
          </w:p>
        </w:tc>
        <w:tc>
          <w:tcPr>
            <w:tcW w:type="dxa" w:w="18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 Date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1 - 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Pick up one iOS ticket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 OKR KR 1.3 - currently the only entirely unaddressed key result</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By 21 Mar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2 - 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Add CoroutineExceptionHandler + structured logging hook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 Observability (Job Specific Skills) and demonstrates proactive reliability thinking</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By 20 Mar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3 -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Write Confluence page on IClipQuestionLayout pattern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 Influence (Enterprise Tools), Lives the Values (Knowledge Sharing), and Results Focused (Technical Design)</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By 20 Mar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4 -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Map RVT and SLO work to SRE handover checklist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 OKR KR 2.2 (100% handover compliance). Share mapping with Kaj.</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By 13 Mar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5 -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Document 3 AI use cases (Windsurf / Copilot)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 OKR KR 4.2 entirely. One use case per week.</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By 27 Mar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6 -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Participate as reviewer in one code review per week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 Teamwork (Team Player sub-competency)</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Ongoing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7 -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Write one-page ADR for pClip/iClip routing decision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Elevates Technical Design evidence to Principal level</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By 27 Mar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8 -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Complete Tech College AI Engineering path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 OKR KR 4.1</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By 27 Mar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102E"/>
                <w:sz w:val="18"/>
                <w:szCs w:val="18"/>
              </w:rPr>
              <w:t xml:space="preserve">9 - 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One pairing session with junior engineer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 Lives the Values (Mentorship) - currently the only GAP status competency</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By 27 Mar</w:t>
            </w:r>
          </w:p>
        </w:tc>
      </w:tr>
    </w:tbl>
    <w:p>
      <w:pPr>
        <w:pBdr>
          <w:bottom w:val="single" w:color="CCCCCC" w:sz="4"/>
        </w:pBdr>
        <w:spacing w:before="160" w:after="160"/>
      </w:pPr>
    </w:p>
    <w:p>
      <w:pPr>
        <w:spacing w:before="320" w:after="120"/>
      </w:pPr>
      <w:r>
        <w:rPr>
          <w:rFonts w:ascii="Arial" w:cs="Arial" w:eastAsia="Arial" w:hAnsi="Arial"/>
          <w:b/>
          <w:bCs/>
          <w:color w:val="C8102E"/>
          <w:sz w:val="28"/>
          <w:szCs w:val="28"/>
        </w:rPr>
        <w:t xml:space="preserve">Note on Kaj's Coaching Plan Comment (5 March 2026)</w:t>
      </w:r>
    </w:p>
    <w:p>
      <w:pPr>
        <w:spacing w:before="60" w:after="60"/>
      </w:pPr>
      <w:r>
        <w:rPr>
          <w:rFonts w:ascii="Arial" w:cs="Arial" w:eastAsia="Arial" w:hAnsi="Arial"/>
          <w:b w:val="false"/>
          <w:bCs w:val="false"/>
          <w:i w:val="false"/>
          <w:iCs w:val="false"/>
          <w:sz w:val="20"/>
          <w:szCs w:val="20"/>
        </w:rPr>
        <w:t xml:space="preserve">On 5 March 2026 at 16:28, Kaj annotated the Performance Focus section of the coaching plan with: "I believe these are already proved out." This suggests the core Job Specific Skills gap identified at the start of the coaching plan has already been addressed in Kaj's view. Raise this directly in the first weekly check-in to confirm which specific competencies remain open for the 31 March evaluation, and document her response.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2026-03-09T21:43:13.524Z</dcterms:created>
  <dcterms:modified xsi:type="dcterms:W3CDTF">2026-03-09T21:43:13.525Z</dcterms:modified>
</cp:coreProperties>
</file>

<file path=docProps/custom.xml><?xml version="1.0" encoding="utf-8"?>
<Properties xmlns="http://schemas.openxmlformats.org/officeDocument/2006/custom-properties" xmlns:vt="http://schemas.openxmlformats.org/officeDocument/2006/docPropsVTypes"/>
</file>