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A2C4E"/>
          <w:sz w:val="36"/>
          <w:szCs w:val="36"/>
        </w:rPr>
        <w:t xml:space="preserve">Evidence Reference Document</w:t>
      </w:r>
    </w:p>
    <w:p>
      <w:pPr>
        <w:spacing w:before="0" w:after="60"/>
      </w:pPr>
      <w:r>
        <w:rPr>
          <w:rFonts w:ascii="Arial" w:cs="Arial" w:eastAsia="Arial" w:hAnsi="Arial"/>
          <w:color w:val="555555"/>
          <w:sz w:val="21"/>
          <w:szCs w:val="21"/>
        </w:rPr>
        <w:t xml:space="preserve">Principal Associate SDE  |  Parthiban Rajasekaran  |  Role Period: 19 January – 31 March 2026</w:t>
      </w:r>
    </w:p>
    <w:p>
      <w:pPr>
        <w:spacing w:before="0" w:after="200"/>
      </w:pPr>
      <w:r>
        <w:rPr>
          <w:rFonts w:ascii="Arial" w:cs="Arial" w:eastAsia="Arial" w:hAnsi="Arial"/>
          <w:i/>
          <w:iCs/>
          <w:color w:val="888888"/>
          <w:sz w:val="18"/>
          <w:szCs w:val="18"/>
        </w:rPr>
        <w:t xml:space="preserve">For use when populating coaching plan slides and competency evidence with Kaj Bansal (EM)  |  9 March 2026</w:t>
      </w:r>
    </w:p>
    <w:p>
      <w:pPr>
        <w:pBdr>
          <w:bottom w:val="single" w:color="CCCCCC" w:sz="4"/>
        </w:pBdr>
        <w:spacing w:before="180" w:after="180"/>
      </w:pPr>
    </w:p>
    <w:p>
      <w:pPr>
        <w:spacing w:before="320" w:after="120"/>
      </w:pPr>
      <w:r>
        <w:rPr>
          <w:rFonts w:ascii="Arial" w:cs="Arial" w:eastAsia="Arial" w:hAnsi="Arial"/>
          <w:b/>
          <w:bCs/>
          <w:color w:val="C8102E"/>
          <w:sz w:val="26"/>
          <w:szCs w:val="26"/>
        </w:rPr>
        <w:t xml:space="preserve">How to Use This Document</w:t>
      </w:r>
    </w:p>
    <w:p>
      <w:pPr>
        <w:spacing w:before="80" w:after="80"/>
      </w:pPr>
      <w:r>
        <w:rPr>
          <w:rFonts w:ascii="Arial" w:cs="Arial" w:eastAsia="Arial" w:hAnsi="Arial"/>
          <w:b w:val="false"/>
          <w:bCs w:val="false"/>
          <w:i w:val="false"/>
          <w:iCs w:val="false"/>
          <w:color w:val="1A1A1A"/>
          <w:sz w:val="20"/>
          <w:szCs w:val="20"/>
        </w:rPr>
        <w:t xml:space="preserve">This document is your evidence reference for populating the coaching plan slides and the competency tracker. It separates your evidence into two tiers based on source reliability, and gives you the exact language to use in each slide so every claim is accurate, attributable, and defensible.</w:t>
      </w:r>
    </w:p>
    <w:p>
      <w:pPr>
        <w:spacing w:before="80" w:after="80"/>
      </w:pPr>
      <w:r>
        <w:rPr>
          <w:rFonts w:ascii="Arial" w:cs="Arial" w:eastAsia="Arial" w:hAnsi="Arial"/>
          <w:b w:val="false"/>
          <w:bCs w:val="false"/>
          <w:i/>
          <w:iCs/>
          <w:color w:val="1A1A1A"/>
          <w:sz w:val="20"/>
          <w:szCs w:val="20"/>
        </w:rPr>
        <w:t xml:space="preserve">Every entry is tagged with its source. JOURNAL entries are your primary evidence — state them as verified fact. WINDSURF entries are AI analysis of your committed code — use them with attribution and approximate language. Nothing in this document should be stated in slides as a verified fact unless it has a JOURNAL or BOTH tag.</w:t>
      </w:r>
    </w:p>
    <w:p>
      <w:pPr>
        <w:pBdr>
          <w:bottom w:val="single" w:color="CCCCCC" w:sz="4"/>
        </w:pBdr>
        <w:spacing w:before="180" w:after="180"/>
      </w:pPr>
    </w:p>
    <w:p>
      <w:pPr>
        <w:spacing w:before="320" w:after="120"/>
      </w:pPr>
      <w:r>
        <w:rPr>
          <w:rFonts w:ascii="Arial" w:cs="Arial" w:eastAsia="Arial" w:hAnsi="Arial"/>
          <w:b/>
          <w:bCs/>
          <w:color w:val="C8102E"/>
          <w:sz w:val="26"/>
          <w:szCs w:val="26"/>
        </w:rPr>
        <w:t xml:space="preserve">Source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D4EDDA" w:val="clear"/>
            <w:tcMar>
              <w:top w:type="dxa" w:w="70"/>
              <w:left w:type="dxa" w:w="110"/>
              <w:bottom w:type="dxa" w:w="70"/>
              <w:right w:type="dxa" w:w="110"/>
            </w:tcMar>
          </w:tcPr>
          <w:p>
            <w:r>
              <w:rPr>
                <w:rFonts w:ascii="Arial" w:cs="Arial" w:eastAsia="Arial" w:hAnsi="Arial"/>
                <w:b/>
                <w:bCs/>
                <w:color w:val="155724"/>
                <w:sz w:val="18"/>
                <w:szCs w:val="18"/>
              </w:rPr>
              <w:t xml:space="preserve">JOURNAL</w:t>
            </w:r>
          </w:p>
        </w:tc>
        <w:tc>
          <w:tcPr>
            <w:tcW w:type="dxa" w:w="84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8"/>
                <w:szCs w:val="18"/>
              </w:rPr>
              <w:t xml:space="preserve">Confirmed from your dev journal — your own contemporaneous record. Primary source. State as verified fact.</w:t>
            </w:r>
          </w:p>
        </w:tc>
      </w:tr>
      <w:tr>
        <w:tc>
          <w:tcPr>
            <w:tcW w:type="dxa" w:w="900"/>
            <w:tcBorders>
              <w:top w:val="single" w:color="CCCCCC" w:sz="1"/>
              <w:left w:val="single" w:color="CCCCCC" w:sz="1"/>
              <w:bottom w:val="single" w:color="CCCCCC" w:sz="1"/>
              <w:right w:val="single" w:color="CCCCCC" w:sz="1"/>
            </w:tcBorders>
            <w:shd w:fill="FFF3CD" w:val="clear"/>
            <w:tcMar>
              <w:top w:type="dxa" w:w="70"/>
              <w:left w:type="dxa" w:w="110"/>
              <w:bottom w:type="dxa" w:w="70"/>
              <w:right w:type="dxa" w:w="110"/>
            </w:tcMar>
          </w:tcPr>
          <w:p>
            <w:r>
              <w:rPr>
                <w:rFonts w:ascii="Arial" w:cs="Arial" w:eastAsia="Arial" w:hAnsi="Arial"/>
                <w:b/>
                <w:bCs/>
                <w:color w:val="7B5E00"/>
                <w:sz w:val="18"/>
                <w:szCs w:val="18"/>
              </w:rPr>
              <w:t xml:space="preserve">WINDSURF</w:t>
            </w:r>
          </w:p>
        </w:tc>
        <w:tc>
          <w:tcPr>
            <w:tcW w:type="dxa" w:w="84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8"/>
                <w:szCs w:val="18"/>
              </w:rPr>
              <w:t xml:space="preserve">From Windsurf AI codebase analysis of your merged PRs. Credible secondary source. Always attribute and use approximate language for numbers.</w:t>
            </w:r>
          </w:p>
        </w:tc>
      </w:tr>
      <w:tr>
        <w:tc>
          <w:tcPr>
            <w:tcW w:type="dxa" w:w="900"/>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tcPr>
          <w:p>
            <w:r>
              <w:rPr>
                <w:rFonts w:ascii="Arial" w:cs="Arial" w:eastAsia="Arial" w:hAnsi="Arial"/>
                <w:b/>
                <w:bCs/>
                <w:color w:val="0D47A1"/>
                <w:sz w:val="18"/>
                <w:szCs w:val="18"/>
              </w:rPr>
              <w:t xml:space="preserve">BOTH</w:t>
            </w:r>
          </w:p>
        </w:tc>
        <w:tc>
          <w:tcPr>
            <w:tcW w:type="dxa" w:w="84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sz w:val="18"/>
                <w:szCs w:val="18"/>
              </w:rPr>
              <w:t xml:space="preserve">Corroborated by both your journal and Windsurf analysis. Strongest evidence. State the journal fact and use Windsurf as corroboration.</w:t>
            </w:r>
          </w:p>
        </w:tc>
      </w:tr>
    </w:tbl>
    <w:p>
      <w:pPr>
        <w:pBdr>
          <w:bottom w:val="single" w:color="CCCCCC" w:sz="4"/>
        </w:pBdr>
        <w:spacing w:before="180" w:after="180"/>
      </w:pPr>
    </w:p>
    <w:p>
      <w:pPr>
        <w:spacing w:before="320" w:after="120"/>
      </w:pPr>
      <w:r>
        <w:rPr>
          <w:rFonts w:ascii="Arial" w:cs="Arial" w:eastAsia="Arial" w:hAnsi="Arial"/>
          <w:b/>
          <w:bCs/>
          <w:color w:val="C8102E"/>
          <w:sz w:val="26"/>
          <w:szCs w:val="26"/>
        </w:rPr>
        <w:t xml:space="preserve">Section 1: PR Evidence</w:t>
      </w:r>
    </w:p>
    <w:p>
      <w:pPr>
        <w:spacing w:before="80" w:after="80"/>
      </w:pPr>
      <w:r>
        <w:rPr>
          <w:rFonts w:ascii="Arial" w:cs="Arial" w:eastAsia="Arial" w:hAnsi="Arial"/>
          <w:b w:val="false"/>
          <w:bCs w:val="false"/>
          <w:i/>
          <w:iCs/>
          <w:color w:val="1A1A1A"/>
          <w:sz w:val="20"/>
          <w:szCs w:val="20"/>
        </w:rPr>
        <w:t xml:space="preserve">Source: Your dev journal (primary). All PR numbers, dates, and descriptions came from your journal screenshots. State these as verified facts in slides.</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800"/>
        <w:gridCol w:w="2200"/>
        <w:gridCol w:w="900"/>
        <w:gridCol w:w="3660"/>
      </w:tblGrid>
      <w:tr>
        <w:tc>
          <w:tcPr>
            <w:tcW w:type="dxa" w:w="600"/>
            <w:tcBorders>
              <w:top w:val="single" w:color="CCCCCC" w:sz="1"/>
              <w:left w:val="single" w:color="CCCCCC" w:sz="1"/>
              <w:bottom w:val="single" w:color="CCCCCC" w:sz="1"/>
              <w:right w:val="single" w:color="CCCCCC" w:sz="1"/>
            </w:tcBorders>
            <w:shd w:fill="2E4070" w:val="clear"/>
            <w:tcMar>
              <w:top w:type="dxa" w:w="90"/>
              <w:left w:type="dxa" w:w="120"/>
              <w:bottom w:type="dxa" w:w="90"/>
              <w:right w:type="dxa" w:w="120"/>
            </w:tcMar>
            <w:vAlign w:val="center"/>
          </w:tcPr>
          <w:p>
            <w:r>
              <w:rPr>
                <w:rFonts w:ascii="Arial" w:cs="Arial" w:eastAsia="Arial" w:hAnsi="Arial"/>
                <w:b/>
                <w:bCs/>
                <w:color w:val="FFFFFF"/>
                <w:sz w:val="19"/>
                <w:szCs w:val="19"/>
              </w:rPr>
              <w:t xml:space="preserve">PR #</w:t>
            </w:r>
          </w:p>
        </w:tc>
        <w:tc>
          <w:tcPr>
            <w:tcW w:type="dxa" w:w="1200"/>
            <w:tcBorders>
              <w:top w:val="single" w:color="CCCCCC" w:sz="1"/>
              <w:left w:val="single" w:color="CCCCCC" w:sz="1"/>
              <w:bottom w:val="single" w:color="CCCCCC" w:sz="1"/>
              <w:right w:val="single" w:color="CCCCCC" w:sz="1"/>
            </w:tcBorders>
            <w:shd w:fill="2E4070" w:val="clear"/>
            <w:tcMar>
              <w:top w:type="dxa" w:w="90"/>
              <w:left w:type="dxa" w:w="120"/>
              <w:bottom w:type="dxa" w:w="90"/>
              <w:right w:type="dxa" w:w="120"/>
            </w:tcMar>
            <w:vAlign w:val="center"/>
          </w:tcPr>
          <w:p>
            <w:r>
              <w:rPr>
                <w:rFonts w:ascii="Arial" w:cs="Arial" w:eastAsia="Arial" w:hAnsi="Arial"/>
                <w:b/>
                <w:bCs/>
                <w:color w:val="FFFFFF"/>
                <w:sz w:val="19"/>
                <w:szCs w:val="19"/>
              </w:rPr>
              <w:t xml:space="preserve">Ticket</w:t>
            </w:r>
          </w:p>
        </w:tc>
        <w:tc>
          <w:tcPr>
            <w:tcW w:type="dxa" w:w="800"/>
            <w:tcBorders>
              <w:top w:val="single" w:color="CCCCCC" w:sz="1"/>
              <w:left w:val="single" w:color="CCCCCC" w:sz="1"/>
              <w:bottom w:val="single" w:color="CCCCCC" w:sz="1"/>
              <w:right w:val="single" w:color="CCCCCC" w:sz="1"/>
            </w:tcBorders>
            <w:shd w:fill="2E4070" w:val="clear"/>
            <w:tcMar>
              <w:top w:type="dxa" w:w="90"/>
              <w:left w:type="dxa" w:w="120"/>
              <w:bottom w:type="dxa" w:w="90"/>
              <w:right w:type="dxa" w:w="120"/>
            </w:tcMar>
            <w:vAlign w:val="center"/>
          </w:tcPr>
          <w:p>
            <w:r>
              <w:rPr>
                <w:rFonts w:ascii="Arial" w:cs="Arial" w:eastAsia="Arial" w:hAnsi="Arial"/>
                <w:b/>
                <w:bCs/>
                <w:color w:val="FFFFFF"/>
                <w:sz w:val="19"/>
                <w:szCs w:val="19"/>
              </w:rPr>
              <w:t xml:space="preserve">Merged</w:t>
            </w:r>
          </w:p>
        </w:tc>
        <w:tc>
          <w:tcPr>
            <w:tcW w:type="dxa" w:w="2200"/>
            <w:tcBorders>
              <w:top w:val="single" w:color="CCCCCC" w:sz="1"/>
              <w:left w:val="single" w:color="CCCCCC" w:sz="1"/>
              <w:bottom w:val="single" w:color="CCCCCC" w:sz="1"/>
              <w:right w:val="single" w:color="CCCCCC" w:sz="1"/>
            </w:tcBorders>
            <w:shd w:fill="2E4070" w:val="clear"/>
            <w:tcMar>
              <w:top w:type="dxa" w:w="90"/>
              <w:left w:type="dxa" w:w="120"/>
              <w:bottom w:type="dxa" w:w="90"/>
              <w:right w:type="dxa" w:w="120"/>
            </w:tcMar>
            <w:vAlign w:val="center"/>
          </w:tcPr>
          <w:p>
            <w:r>
              <w:rPr>
                <w:rFonts w:ascii="Arial" w:cs="Arial" w:eastAsia="Arial" w:hAnsi="Arial"/>
                <w:b/>
                <w:bCs/>
                <w:color w:val="FFFFFF"/>
                <w:sz w:val="19"/>
                <w:szCs w:val="19"/>
              </w:rPr>
              <w:t xml:space="preserve">What It Delivered</w:t>
            </w:r>
          </w:p>
        </w:tc>
        <w:tc>
          <w:tcPr>
            <w:tcW w:type="dxa" w:w="900"/>
            <w:tcBorders>
              <w:top w:val="single" w:color="CCCCCC" w:sz="1"/>
              <w:left w:val="single" w:color="CCCCCC" w:sz="1"/>
              <w:bottom w:val="single" w:color="CCCCCC" w:sz="1"/>
              <w:right w:val="single" w:color="CCCCCC" w:sz="1"/>
            </w:tcBorders>
            <w:shd w:fill="2E4070" w:val="clear"/>
            <w:tcMar>
              <w:top w:type="dxa" w:w="90"/>
              <w:left w:type="dxa" w:w="120"/>
              <w:bottom w:type="dxa" w:w="90"/>
              <w:right w:type="dxa" w:w="120"/>
            </w:tcMar>
            <w:vAlign w:val="center"/>
          </w:tcPr>
          <w:p>
            <w:r>
              <w:rPr>
                <w:rFonts w:ascii="Arial" w:cs="Arial" w:eastAsia="Arial" w:hAnsi="Arial"/>
                <w:b/>
                <w:bCs/>
                <w:color w:val="FFFFFF"/>
                <w:sz w:val="19"/>
                <w:szCs w:val="19"/>
              </w:rPr>
              <w:t xml:space="preserve">Source</w:t>
            </w:r>
          </w:p>
        </w:tc>
        <w:tc>
          <w:tcPr>
            <w:tcW w:type="dxa" w:w="3660"/>
            <w:tcBorders>
              <w:top w:val="single" w:color="CCCCCC" w:sz="1"/>
              <w:left w:val="single" w:color="CCCCCC" w:sz="1"/>
              <w:bottom w:val="single" w:color="CCCCCC" w:sz="1"/>
              <w:right w:val="single" w:color="CCCCCC" w:sz="1"/>
            </w:tcBorders>
            <w:shd w:fill="2E4070" w:val="clear"/>
            <w:tcMar>
              <w:top w:type="dxa" w:w="90"/>
              <w:left w:type="dxa" w:w="120"/>
              <w:bottom w:type="dxa" w:w="90"/>
              <w:right w:type="dxa" w:w="120"/>
            </w:tcMar>
            <w:vAlign w:val="center"/>
          </w:tcPr>
          <w:p>
            <w:r>
              <w:rPr>
                <w:rFonts w:ascii="Arial" w:cs="Arial" w:eastAsia="Arial" w:hAnsi="Arial"/>
                <w:b/>
                <w:bCs/>
                <w:color w:val="FFFFFF"/>
                <w:sz w:val="19"/>
                <w:szCs w:val="19"/>
              </w:rPr>
              <w:t xml:space="preserve">Slide Justification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bCs/>
                <w:i w:val="false"/>
                <w:iCs w:val="false"/>
                <w:color w:val="1A2C4E"/>
                <w:sz w:val="18"/>
                <w:szCs w:val="18"/>
              </w:rPr>
              <w:t xml:space="preserve">7762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val="false"/>
                <w:bCs w:val="false"/>
                <w:i w:val="false"/>
                <w:iCs w:val="false"/>
                <w:color w:val="1A1A1A"/>
                <w:sz w:val="17"/>
                <w:szCs w:val="17"/>
              </w:rPr>
              <w:t xml:space="preserve">Not yet linked in journal at time of capture</w:t>
            </w:r>
          </w:p>
        </w:tc>
        <w:tc>
          <w:tcPr>
            <w:tcW w:type="dxa" w:w="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bCs/>
                <w:i w:val="false"/>
                <w:iCs w:val="false"/>
                <w:color w:val="1A1A1A"/>
                <w:sz w:val="18"/>
                <w:szCs w:val="18"/>
              </w:rPr>
              <w:t xml:space="preserve">12 Feb 2026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val="false"/>
                <w:bCs w:val="false"/>
                <w:i w:val="false"/>
                <w:iCs w:val="false"/>
                <w:color w:val="1A1A1A"/>
                <w:sz w:val="17"/>
                <w:szCs w:val="17"/>
              </w:rPr>
              <w:t xml:space="preserve">Offer Screen on Android with feature toggle implementation; reverted and re-implemented twice following Toby and Manny's feedback before final merge.</w:t>
            </w:r>
          </w:p>
        </w:tc>
        <w:tc>
          <w:tcPr>
            <w:tcW w:type="dxa" w:w="9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16"/>
                <w:szCs w:val="16"/>
              </w:rPr>
              <w:t xml:space="preserve">JOURNAL</w:t>
            </w:r>
          </w:p>
        </w:tc>
        <w:tc>
          <w:tcPr>
            <w:tcW w:type="dxa" w:w="36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val="false"/>
                <w:bCs w:val="false"/>
                <w:i/>
                <w:iCs/>
                <w:color w:val="333333"/>
                <w:sz w:val="17"/>
                <w:szCs w:val="17"/>
              </w:rPr>
              <w:t xml:space="preserve">Demonstrates Sound Judgement (Judgment competency) and Constructive Feedback integration. Shows you navigated conflicting senior stakeholder direction and converged on the technically correct solution. Maps to L3 requirement: 'demonstrates autonomy in driving technical work.'</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bCs/>
                <w:i w:val="false"/>
                <w:iCs w:val="false"/>
                <w:color w:val="1A2C4E"/>
                <w:sz w:val="18"/>
                <w:szCs w:val="18"/>
              </w:rPr>
              <w:t xml:space="preserve">7773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val="false"/>
                <w:bCs w:val="false"/>
                <w:i w:val="false"/>
                <w:iCs w:val="false"/>
                <w:color w:val="1A1A1A"/>
                <w:sz w:val="17"/>
                <w:szCs w:val="17"/>
              </w:rPr>
              <w:t xml:space="preserve">UKCLM-11489</w:t>
            </w:r>
          </w:p>
        </w:tc>
        <w:tc>
          <w:tcPr>
            <w:tcW w:type="dxa" w:w="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bCs/>
                <w:i w:val="false"/>
                <w:iCs w:val="false"/>
                <w:color w:val="1A1A1A"/>
                <w:sz w:val="18"/>
                <w:szCs w:val="18"/>
              </w:rPr>
              <w:t xml:space="preserve">18 Feb 2026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val="false"/>
                <w:bCs w:val="false"/>
                <w:i w:val="false"/>
                <w:iCs w:val="false"/>
                <w:color w:val="1A1A1A"/>
                <w:sz w:val="17"/>
                <w:szCs w:val="17"/>
              </w:rPr>
              <w:t xml:space="preserve">Feature plus unit test delivery, merged same day as 7791.</w:t>
            </w:r>
          </w:p>
        </w:tc>
        <w:tc>
          <w:tcPr>
            <w:tcW w:type="dxa" w:w="9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16"/>
                <w:szCs w:val="16"/>
              </w:rPr>
              <w:t xml:space="preserve">JOURNAL</w:t>
            </w:r>
          </w:p>
        </w:tc>
        <w:tc>
          <w:tcPr>
            <w:tcW w:type="dxa" w:w="36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val="false"/>
                <w:bCs w:val="false"/>
                <w:i/>
                <w:iCs/>
                <w:color w:val="333333"/>
                <w:sz w:val="17"/>
                <w:szCs w:val="17"/>
              </w:rPr>
              <w:t xml:space="preserve">Evidences Programming and Scripting (Job Specific Skills) and Agile Practices (Process and Methodologies). Two tickets completed and merged in a single sprint window demonstrates Results Focused delivery velocity.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bCs/>
                <w:i w:val="false"/>
                <w:iCs w:val="false"/>
                <w:color w:val="1A2C4E"/>
                <w:sz w:val="18"/>
                <w:szCs w:val="18"/>
              </w:rPr>
              <w:t xml:space="preserve">7791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val="false"/>
                <w:bCs w:val="false"/>
                <w:i w:val="false"/>
                <w:iCs w:val="false"/>
                <w:color w:val="1A1A1A"/>
                <w:sz w:val="17"/>
                <w:szCs w:val="17"/>
              </w:rPr>
              <w:t xml:space="preserve">UKCLM-11492</w:t>
            </w:r>
          </w:p>
        </w:tc>
        <w:tc>
          <w:tcPr>
            <w:tcW w:type="dxa" w:w="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bCs/>
                <w:i w:val="false"/>
                <w:iCs w:val="false"/>
                <w:color w:val="1A1A1A"/>
                <w:sz w:val="18"/>
                <w:szCs w:val="18"/>
              </w:rPr>
              <w:t xml:space="preserve">18 Feb 2026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val="false"/>
                <w:bCs w:val="false"/>
                <w:i w:val="false"/>
                <w:iCs w:val="false"/>
                <w:color w:val="1A1A1A"/>
                <w:sz w:val="17"/>
                <w:szCs w:val="17"/>
              </w:rPr>
              <w:t xml:space="preserve">UI test delivery merged same sprint window as 7773.</w:t>
            </w:r>
          </w:p>
        </w:tc>
        <w:tc>
          <w:tcPr>
            <w:tcW w:type="dxa" w:w="9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16"/>
                <w:szCs w:val="16"/>
              </w:rPr>
              <w:t xml:space="preserve">JOURNAL</w:t>
            </w:r>
          </w:p>
        </w:tc>
        <w:tc>
          <w:tcPr>
            <w:tcW w:type="dxa" w:w="36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val="false"/>
                <w:bCs w:val="false"/>
                <w:i/>
                <w:iCs/>
                <w:color w:val="333333"/>
                <w:sz w:val="17"/>
                <w:szCs w:val="17"/>
              </w:rPr>
              <w:t xml:space="preserve">Evidences Testing and Validation (Job Specific Skills). UI-level test coverage shows you are testing at the right layer, not just unit tests. Maps to L3 Testing and Validation: 'solid understanding of appropriate testing methodologies.'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bCs/>
                <w:i w:val="false"/>
                <w:iCs w:val="false"/>
                <w:color w:val="1A2C4E"/>
                <w:sz w:val="18"/>
                <w:szCs w:val="18"/>
              </w:rPr>
              <w:t xml:space="preserve">7800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val="false"/>
                <w:bCs w:val="false"/>
                <w:i w:val="false"/>
                <w:iCs w:val="false"/>
                <w:color w:val="1A1A1A"/>
                <w:sz w:val="17"/>
                <w:szCs w:val="17"/>
              </w:rPr>
              <w:t xml:space="preserve">UKCLM-11318</w:t>
            </w:r>
          </w:p>
        </w:tc>
        <w:tc>
          <w:tcPr>
            <w:tcW w:type="dxa" w:w="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bCs/>
                <w:i w:val="false"/>
                <w:iCs w:val="false"/>
                <w:color w:val="1A1A1A"/>
                <w:sz w:val="18"/>
                <w:szCs w:val="18"/>
              </w:rPr>
              <w:t xml:space="preserve">25 Feb 2026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val="false"/>
                <w:bCs w:val="false"/>
                <w:i w:val="false"/>
                <w:iCs w:val="false"/>
                <w:color w:val="1A1A1A"/>
                <w:sz w:val="17"/>
                <w:szCs w:val="17"/>
              </w:rPr>
              <w:t xml:space="preserve">Bug fix improving progress bar position; screenshots shared proactively with design team for review before merge.</w:t>
            </w:r>
          </w:p>
        </w:tc>
        <w:tc>
          <w:tcPr>
            <w:tcW w:type="dxa" w:w="9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16"/>
                <w:szCs w:val="16"/>
              </w:rPr>
              <w:t xml:space="preserve">JOURNAL</w:t>
            </w:r>
          </w:p>
        </w:tc>
        <w:tc>
          <w:tcPr>
            <w:tcW w:type="dxa" w:w="36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val="false"/>
                <w:bCs w:val="false"/>
                <w:i/>
                <w:iCs/>
                <w:color w:val="333333"/>
                <w:sz w:val="17"/>
                <w:szCs w:val="17"/>
              </w:rPr>
              <w:t xml:space="preserve">Evidences Cross-Functional Interaction (Teamwork) and Customer Outcomes (Customer Focused). You did not just fix the bug — you brought in the design team to validate the visual change. This is Principal-level quality thinking, not just ticket completion.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bCs/>
                <w:i w:val="false"/>
                <w:iCs w:val="false"/>
                <w:color w:val="1A2C4E"/>
                <w:sz w:val="18"/>
                <w:szCs w:val="18"/>
              </w:rPr>
              <w:t xml:space="preserve">7808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val="false"/>
                <w:bCs w:val="false"/>
                <w:i w:val="false"/>
                <w:iCs w:val="false"/>
                <w:color w:val="1A1A1A"/>
                <w:sz w:val="17"/>
                <w:szCs w:val="17"/>
              </w:rPr>
              <w:t xml:space="preserve">UKCLM-11318</w:t>
            </w:r>
          </w:p>
        </w:tc>
        <w:tc>
          <w:tcPr>
            <w:tcW w:type="dxa" w:w="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bCs/>
                <w:i w:val="false"/>
                <w:iCs w:val="false"/>
                <w:color w:val="1A1A1A"/>
                <w:sz w:val="18"/>
                <w:szCs w:val="18"/>
              </w:rPr>
              <w:t xml:space="preserve">25 Feb 2026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val="false"/>
                <w:bCs w:val="false"/>
                <w:i w:val="false"/>
                <w:iCs w:val="false"/>
                <w:color w:val="1A1A1A"/>
                <w:sz w:val="17"/>
                <w:szCs w:val="17"/>
              </w:rPr>
              <w:t xml:space="preserve">Companion PR to 7800 for the same bug fix; both merged same day.</w:t>
            </w:r>
          </w:p>
        </w:tc>
        <w:tc>
          <w:tcPr>
            <w:tcW w:type="dxa" w:w="9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16"/>
                <w:szCs w:val="16"/>
              </w:rPr>
              <w:t xml:space="preserve">JOURNAL</w:t>
            </w:r>
          </w:p>
        </w:tc>
        <w:tc>
          <w:tcPr>
            <w:tcW w:type="dxa" w:w="36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val="false"/>
                <w:bCs w:val="false"/>
                <w:i/>
                <w:iCs/>
                <w:color w:val="333333"/>
                <w:sz w:val="17"/>
                <w:szCs w:val="17"/>
              </w:rPr>
              <w:t xml:space="preserve">Same evidence mapping as 7800. Pair of PRs on the same ticket shows you understood the scope of the change required across the codebase.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bCs/>
                <w:i w:val="false"/>
                <w:iCs w:val="false"/>
                <w:color w:val="1A2C4E"/>
                <w:sz w:val="18"/>
                <w:szCs w:val="18"/>
              </w:rPr>
              <w:t xml:space="preserve">7826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val="false"/>
                <w:bCs w:val="false"/>
                <w:i w:val="false"/>
                <w:iCs w:val="false"/>
                <w:color w:val="1A1A1A"/>
                <w:sz w:val="17"/>
                <w:szCs w:val="17"/>
              </w:rPr>
              <w:t xml:space="preserve">SonarQube: Code Duplication Failure</w:t>
            </w:r>
          </w:p>
        </w:tc>
        <w:tc>
          <w:tcPr>
            <w:tcW w:type="dxa" w:w="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bCs/>
                <w:i w:val="false"/>
                <w:iCs w:val="false"/>
                <w:color w:val="1A1A1A"/>
                <w:sz w:val="18"/>
                <w:szCs w:val="18"/>
              </w:rPr>
              <w:t xml:space="preserve">4 Mar 2026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val="false"/>
                <w:bCs w:val="false"/>
                <w:i w:val="false"/>
                <w:iCs w:val="false"/>
                <w:color w:val="1A1A1A"/>
                <w:sz w:val="17"/>
                <w:szCs w:val="17"/>
              </w:rPr>
              <w:t xml:space="preserve">Resolved 16-18% code duplication across IClipCashAdvanceLayout and IClipOpenBankingLayout by extracting shared UI into a generic IClipQuestionLayout composable, parameterised via IClipQuestionScreenConfig data class and IClipQuestionOption interface.</w:t>
            </w:r>
          </w:p>
        </w:tc>
        <w:tc>
          <w:tcPr>
            <w:tcW w:type="dxa" w:w="9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16"/>
                <w:szCs w:val="16"/>
              </w:rPr>
              <w:t xml:space="preserve">JOURNAL</w:t>
            </w:r>
          </w:p>
        </w:tc>
        <w:tc>
          <w:tcPr>
            <w:tcW w:type="dxa" w:w="36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val="false"/>
                <w:bCs w:val="false"/>
                <w:i/>
                <w:iCs/>
                <w:color w:val="333333"/>
                <w:sz w:val="17"/>
                <w:szCs w:val="17"/>
              </w:rPr>
              <w:t xml:space="preserve">This is your single strongest evidence entry. Maps to Technical Debt Identification (Problem Solving), Technical Leadership (Influence), Technical Design and Implementation (Results Focused), and Ownership Mentality (Customer Focused) simultaneously. The SonarQube warning was not your ticket to fix — you identified it, proposed the solution, designed the abstraction, and merged it. That is unambiguously Principal-level behaviour.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bCs/>
                <w:i w:val="false"/>
                <w:iCs w:val="false"/>
                <w:color w:val="1A2C4E"/>
                <w:sz w:val="18"/>
                <w:szCs w:val="18"/>
              </w:rPr>
              <w:t xml:space="preserve">7831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val="false"/>
                <w:bCs w:val="false"/>
                <w:i w:val="false"/>
                <w:iCs w:val="false"/>
                <w:color w:val="1A1A1A"/>
                <w:sz w:val="17"/>
                <w:szCs w:val="17"/>
              </w:rPr>
              <w:t xml:space="preserve">UKCLM-11318 / Reduce Error Toast Duration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bCs/>
                <w:i w:val="false"/>
                <w:iCs w:val="false"/>
                <w:color w:val="1A1A1A"/>
                <w:sz w:val="18"/>
                <w:szCs w:val="18"/>
              </w:rPr>
              <w:t xml:space="preserve">4 Mar 2026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val="false"/>
                <w:bCs w:val="false"/>
                <w:i w:val="false"/>
                <w:iCs w:val="false"/>
                <w:color w:val="1A1A1A"/>
                <w:sz w:val="17"/>
                <w:szCs w:val="17"/>
              </w:rPr>
              <w:t xml:space="preserve">Reduced error toast display duration from approximately 5 seconds to approximately 3 seconds on the Increase Amount screen by replacing SnackbarDuration.Short with a manual delay plus dismiss, localised to that screen only.</w:t>
            </w:r>
          </w:p>
        </w:tc>
        <w:tc>
          <w:tcPr>
            <w:tcW w:type="dxa" w:w="9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16"/>
                <w:szCs w:val="16"/>
              </w:rPr>
              <w:t xml:space="preserve">JOURNAL</w:t>
            </w:r>
          </w:p>
        </w:tc>
        <w:tc>
          <w:tcPr>
            <w:tcW w:type="dxa" w:w="36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val="false"/>
                <w:bCs w:val="false"/>
                <w:i/>
                <w:iCs/>
                <w:color w:val="333333"/>
                <w:sz w:val="17"/>
                <w:szCs w:val="17"/>
              </w:rPr>
              <w:t xml:space="preserve">Evidences Customer Outcomes (Customer Focused) and Sound Judgement (Judgment). The localisation decision — ensuring no other screens were affected — is the judgement call to highlight. You considered the blast radius of your change before merging.</w:t>
            </w:r>
          </w:p>
        </w:tc>
      </w:tr>
    </w:tbl>
    <w:p>
      <w:pPr>
        <w:pBdr>
          <w:bottom w:val="single" w:color="CCCCCC" w:sz="4"/>
        </w:pBdr>
        <w:spacing w:before="180" w:after="180"/>
      </w:pPr>
    </w:p>
    <w:p>
      <w:pPr>
        <w:spacing w:before="320" w:after="120"/>
      </w:pPr>
      <w:r>
        <w:rPr>
          <w:rFonts w:ascii="Arial" w:cs="Arial" w:eastAsia="Arial" w:hAnsi="Arial"/>
          <w:b/>
          <w:bCs/>
          <w:color w:val="C8102E"/>
          <w:sz w:val="26"/>
          <w:szCs w:val="26"/>
        </w:rPr>
        <w:t xml:space="preserve">Section 2: Jira Ticket Evidence</w:t>
      </w:r>
    </w:p>
    <w:p>
      <w:pPr>
        <w:spacing w:before="80" w:after="80"/>
      </w:pPr>
      <w:r>
        <w:rPr>
          <w:rFonts w:ascii="Arial" w:cs="Arial" w:eastAsia="Arial" w:hAnsi="Arial"/>
          <w:b w:val="false"/>
          <w:bCs w:val="false"/>
          <w:i/>
          <w:iCs/>
          <w:color w:val="1A1A1A"/>
          <w:sz w:val="20"/>
          <w:szCs w:val="20"/>
        </w:rPr>
        <w:t xml:space="preserve">Source: Your dev journal (primary). All ticket numbers, dates, and descriptions came from your journal screenshots.</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700"/>
        <w:gridCol w:w="700"/>
        <w:gridCol w:w="1900"/>
        <w:gridCol w:w="700"/>
        <w:gridCol w:w="2460"/>
      </w:tblGrid>
      <w:tr>
        <w:tc>
          <w:tcPr>
            <w:tcW w:type="dxa" w:w="900"/>
            <w:tcBorders>
              <w:top w:val="single" w:color="CCCCCC" w:sz="1"/>
              <w:left w:val="single" w:color="CCCCCC" w:sz="1"/>
              <w:bottom w:val="single" w:color="CCCCCC" w:sz="1"/>
              <w:right w:val="single" w:color="CCCCCC" w:sz="1"/>
            </w:tcBorders>
            <w:shd w:fill="2E4070" w:val="clear"/>
            <w:tcMar>
              <w:top w:type="dxa" w:w="90"/>
              <w:left w:type="dxa" w:w="120"/>
              <w:bottom w:type="dxa" w:w="90"/>
              <w:right w:type="dxa" w:w="120"/>
            </w:tcMar>
            <w:vAlign w:val="center"/>
          </w:tcPr>
          <w:p>
            <w:r>
              <w:rPr>
                <w:rFonts w:ascii="Arial" w:cs="Arial" w:eastAsia="Arial" w:hAnsi="Arial"/>
                <w:b/>
                <w:bCs/>
                <w:color w:val="FFFFFF"/>
                <w:sz w:val="19"/>
                <w:szCs w:val="19"/>
              </w:rPr>
              <w:t xml:space="preserve">Ticket</w:t>
            </w:r>
          </w:p>
        </w:tc>
        <w:tc>
          <w:tcPr>
            <w:tcW w:type="dxa" w:w="900"/>
            <w:tcBorders>
              <w:top w:val="single" w:color="CCCCCC" w:sz="1"/>
              <w:left w:val="single" w:color="CCCCCC" w:sz="1"/>
              <w:bottom w:val="single" w:color="CCCCCC" w:sz="1"/>
              <w:right w:val="single" w:color="CCCCCC" w:sz="1"/>
            </w:tcBorders>
            <w:shd w:fill="2E4070" w:val="clear"/>
            <w:tcMar>
              <w:top w:type="dxa" w:w="90"/>
              <w:left w:type="dxa" w:w="120"/>
              <w:bottom w:type="dxa" w:w="90"/>
              <w:right w:type="dxa" w:w="120"/>
            </w:tcMar>
            <w:vAlign w:val="center"/>
          </w:tcPr>
          <w:p>
            <w:r>
              <w:rPr>
                <w:rFonts w:ascii="Arial" w:cs="Arial" w:eastAsia="Arial" w:hAnsi="Arial"/>
                <w:b/>
                <w:bCs/>
                <w:color w:val="FFFFFF"/>
                <w:sz w:val="19"/>
                <w:szCs w:val="19"/>
              </w:rPr>
              <w:t xml:space="preserve">Category</w:t>
            </w:r>
          </w:p>
        </w:tc>
        <w:tc>
          <w:tcPr>
            <w:tcW w:type="dxa" w:w="700"/>
            <w:tcBorders>
              <w:top w:val="single" w:color="CCCCCC" w:sz="1"/>
              <w:left w:val="single" w:color="CCCCCC" w:sz="1"/>
              <w:bottom w:val="single" w:color="CCCCCC" w:sz="1"/>
              <w:right w:val="single" w:color="CCCCCC" w:sz="1"/>
            </w:tcBorders>
            <w:shd w:fill="2E4070" w:val="clear"/>
            <w:tcMar>
              <w:top w:type="dxa" w:w="90"/>
              <w:left w:type="dxa" w:w="120"/>
              <w:bottom w:type="dxa" w:w="90"/>
              <w:right w:type="dxa" w:w="120"/>
            </w:tcMar>
            <w:vAlign w:val="center"/>
          </w:tcPr>
          <w:p>
            <w:r>
              <w:rPr>
                <w:rFonts w:ascii="Arial" w:cs="Arial" w:eastAsia="Arial" w:hAnsi="Arial"/>
                <w:b/>
                <w:bCs/>
                <w:color w:val="FFFFFF"/>
                <w:sz w:val="19"/>
                <w:szCs w:val="19"/>
              </w:rPr>
              <w:t xml:space="preserve">Assigned</w:t>
            </w:r>
          </w:p>
        </w:tc>
        <w:tc>
          <w:tcPr>
            <w:tcW w:type="dxa" w:w="700"/>
            <w:tcBorders>
              <w:top w:val="single" w:color="CCCCCC" w:sz="1"/>
              <w:left w:val="single" w:color="CCCCCC" w:sz="1"/>
              <w:bottom w:val="single" w:color="CCCCCC" w:sz="1"/>
              <w:right w:val="single" w:color="CCCCCC" w:sz="1"/>
            </w:tcBorders>
            <w:shd w:fill="2E4070" w:val="clear"/>
            <w:tcMar>
              <w:top w:type="dxa" w:w="90"/>
              <w:left w:type="dxa" w:w="120"/>
              <w:bottom w:type="dxa" w:w="90"/>
              <w:right w:type="dxa" w:w="120"/>
            </w:tcMar>
            <w:vAlign w:val="center"/>
          </w:tcPr>
          <w:p>
            <w:r>
              <w:rPr>
                <w:rFonts w:ascii="Arial" w:cs="Arial" w:eastAsia="Arial" w:hAnsi="Arial"/>
                <w:b/>
                <w:bCs/>
                <w:color w:val="FFFFFF"/>
                <w:sz w:val="19"/>
                <w:szCs w:val="19"/>
              </w:rPr>
              <w:t xml:space="preserve">Completed</w:t>
            </w:r>
          </w:p>
        </w:tc>
        <w:tc>
          <w:tcPr>
            <w:tcW w:type="dxa" w:w="1900"/>
            <w:tcBorders>
              <w:top w:val="single" w:color="CCCCCC" w:sz="1"/>
              <w:left w:val="single" w:color="CCCCCC" w:sz="1"/>
              <w:bottom w:val="single" w:color="CCCCCC" w:sz="1"/>
              <w:right w:val="single" w:color="CCCCCC" w:sz="1"/>
            </w:tcBorders>
            <w:shd w:fill="2E4070" w:val="clear"/>
            <w:tcMar>
              <w:top w:type="dxa" w:w="90"/>
              <w:left w:type="dxa" w:w="120"/>
              <w:bottom w:type="dxa" w:w="90"/>
              <w:right w:type="dxa" w:w="120"/>
            </w:tcMar>
            <w:vAlign w:val="center"/>
          </w:tcPr>
          <w:p>
            <w:r>
              <w:rPr>
                <w:rFonts w:ascii="Arial" w:cs="Arial" w:eastAsia="Arial" w:hAnsi="Arial"/>
                <w:b/>
                <w:bCs/>
                <w:color w:val="FFFFFF"/>
                <w:sz w:val="19"/>
                <w:szCs w:val="19"/>
              </w:rPr>
              <w:t xml:space="preserve">Description</w:t>
            </w:r>
          </w:p>
        </w:tc>
        <w:tc>
          <w:tcPr>
            <w:tcW w:type="dxa" w:w="700"/>
            <w:tcBorders>
              <w:top w:val="single" w:color="CCCCCC" w:sz="1"/>
              <w:left w:val="single" w:color="CCCCCC" w:sz="1"/>
              <w:bottom w:val="single" w:color="CCCCCC" w:sz="1"/>
              <w:right w:val="single" w:color="CCCCCC" w:sz="1"/>
            </w:tcBorders>
            <w:shd w:fill="2E4070" w:val="clear"/>
            <w:tcMar>
              <w:top w:type="dxa" w:w="90"/>
              <w:left w:type="dxa" w:w="120"/>
              <w:bottom w:type="dxa" w:w="90"/>
              <w:right w:type="dxa" w:w="120"/>
            </w:tcMar>
            <w:vAlign w:val="center"/>
          </w:tcPr>
          <w:p>
            <w:r>
              <w:rPr>
                <w:rFonts w:ascii="Arial" w:cs="Arial" w:eastAsia="Arial" w:hAnsi="Arial"/>
                <w:b/>
                <w:bCs/>
                <w:color w:val="FFFFFF"/>
                <w:sz w:val="19"/>
                <w:szCs w:val="19"/>
              </w:rPr>
              <w:t xml:space="preserve">Source</w:t>
            </w:r>
          </w:p>
        </w:tc>
        <w:tc>
          <w:tcPr>
            <w:tcW w:type="dxa" w:w="2460"/>
            <w:tcBorders>
              <w:top w:val="single" w:color="CCCCCC" w:sz="1"/>
              <w:left w:val="single" w:color="CCCCCC" w:sz="1"/>
              <w:bottom w:val="single" w:color="CCCCCC" w:sz="1"/>
              <w:right w:val="single" w:color="CCCCCC" w:sz="1"/>
            </w:tcBorders>
            <w:shd w:fill="2E4070" w:val="clear"/>
            <w:tcMar>
              <w:top w:type="dxa" w:w="90"/>
              <w:left w:type="dxa" w:w="120"/>
              <w:bottom w:type="dxa" w:w="90"/>
              <w:right w:type="dxa" w:w="120"/>
            </w:tcMar>
            <w:vAlign w:val="center"/>
          </w:tcPr>
          <w:p>
            <w:r>
              <w:rPr>
                <w:rFonts w:ascii="Arial" w:cs="Arial" w:eastAsia="Arial" w:hAnsi="Arial"/>
                <w:b/>
                <w:bCs/>
                <w:color w:val="FFFFFF"/>
                <w:sz w:val="19"/>
                <w:szCs w:val="19"/>
              </w:rPr>
              <w:t xml:space="preserve">L3 Competency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bCs/>
                <w:i w:val="false"/>
                <w:iCs w:val="false"/>
                <w:color w:val="1A2C4E"/>
                <w:sz w:val="18"/>
                <w:szCs w:val="18"/>
              </w:rPr>
              <w:t xml:space="preserve">UKCLM-11407</w:t>
            </w:r>
          </w:p>
        </w:tc>
        <w:tc>
          <w:tcPr>
            <w:tcW w:type="dxa" w:w="9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val="false"/>
                <w:bCs w:val="false"/>
                <w:i w:val="false"/>
                <w:iCs w:val="false"/>
                <w:color w:val="1A1A1A"/>
                <w:sz w:val="17"/>
                <w:szCs w:val="17"/>
              </w:rPr>
              <w:t xml:space="preserve">Feature + Unit Test</w:t>
            </w:r>
          </w:p>
        </w:tc>
        <w:tc>
          <w:tcPr>
            <w:tcW w:type="dxa" w:w="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val="false"/>
                <w:bCs w:val="false"/>
                <w:i w:val="false"/>
                <w:iCs w:val="false"/>
                <w:color w:val="1A1A1A"/>
                <w:sz w:val="17"/>
                <w:szCs w:val="17"/>
              </w:rPr>
              <w:t xml:space="preserve">5 Feb 2026</w:t>
            </w:r>
          </w:p>
        </w:tc>
        <w:tc>
          <w:tcPr>
            <w:tcW w:type="dxa" w:w="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bCs/>
                <w:i w:val="false"/>
                <w:iCs w:val="false"/>
                <w:color w:val="1A1A1A"/>
                <w:sz w:val="18"/>
                <w:szCs w:val="18"/>
              </w:rPr>
              <w:t xml:space="preserve">12 Feb 2026</w:t>
            </w:r>
          </w:p>
        </w:tc>
        <w:tc>
          <w:tcPr>
            <w:tcW w:type="dxa" w:w="19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val="false"/>
                <w:bCs w:val="false"/>
                <w:i w:val="false"/>
                <w:iCs w:val="false"/>
                <w:color w:val="1A1A1A"/>
                <w:sz w:val="17"/>
                <w:szCs w:val="17"/>
              </w:rPr>
              <w:t xml:space="preserve">iClip feature with feature toggle implementation. Reverted from static to dynamic feature flag variable following Toby's feedback. Navigated three-way disagreement between Toby, Manny, and original implementation.</w:t>
            </w:r>
          </w:p>
        </w:tc>
        <w:tc>
          <w:tcPr>
            <w:tcW w:type="dxa" w:w="9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16"/>
                <w:szCs w:val="16"/>
              </w:rPr>
              <w:t xml:space="preserve">JOURNAL</w:t>
            </w:r>
          </w:p>
        </w:tc>
        <w:tc>
          <w:tcPr>
            <w:tcW w:type="dxa" w:w="24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val="false"/>
                <w:bCs w:val="false"/>
                <w:i/>
                <w:iCs/>
                <w:color w:val="333333"/>
                <w:sz w:val="17"/>
                <w:szCs w:val="17"/>
              </w:rPr>
              <w:t xml:space="preserve">Sound Judgement, Proactive Risk Identification, Constructive Feedback integration, Cross-Functional Interaction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bCs/>
                <w:i w:val="false"/>
                <w:iCs w:val="false"/>
                <w:color w:val="1A2C4E"/>
                <w:sz w:val="18"/>
                <w:szCs w:val="18"/>
              </w:rPr>
              <w:t xml:space="preserve">UKCLM-11489</w:t>
            </w:r>
          </w:p>
        </w:tc>
        <w:tc>
          <w:tcPr>
            <w:tcW w:type="dxa" w:w="9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val="false"/>
                <w:bCs w:val="false"/>
                <w:i w:val="false"/>
                <w:iCs w:val="false"/>
                <w:color w:val="1A1A1A"/>
                <w:sz w:val="17"/>
                <w:szCs w:val="17"/>
              </w:rPr>
              <w:t xml:space="preserve">Feature + Unit Test</w:t>
            </w:r>
          </w:p>
        </w:tc>
        <w:tc>
          <w:tcPr>
            <w:tcW w:type="dxa" w:w="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val="false"/>
                <w:bCs w:val="false"/>
                <w:i w:val="false"/>
                <w:iCs w:val="false"/>
                <w:color w:val="1A1A1A"/>
                <w:sz w:val="17"/>
                <w:szCs w:val="17"/>
              </w:rPr>
              <w:t xml:space="preserve">12 Feb 2026</w:t>
            </w:r>
          </w:p>
        </w:tc>
        <w:tc>
          <w:tcPr>
            <w:tcW w:type="dxa" w:w="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bCs/>
                <w:i w:val="false"/>
                <w:iCs w:val="false"/>
                <w:color w:val="1A1A1A"/>
                <w:sz w:val="18"/>
                <w:szCs w:val="18"/>
              </w:rPr>
              <w:t xml:space="preserve">18 Feb 2026</w:t>
            </w:r>
          </w:p>
        </w:tc>
        <w:tc>
          <w:tcPr>
            <w:tcW w:type="dxa" w:w="19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val="false"/>
                <w:bCs w:val="false"/>
                <w:i w:val="false"/>
                <w:iCs w:val="false"/>
                <w:color w:val="1A1A1A"/>
                <w:sz w:val="17"/>
                <w:szCs w:val="17"/>
              </w:rPr>
              <w:t xml:space="preserve">Feature delivery with unit tests, merged PR 7773.</w:t>
            </w:r>
          </w:p>
        </w:tc>
        <w:tc>
          <w:tcPr>
            <w:tcW w:type="dxa" w:w="9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16"/>
                <w:szCs w:val="16"/>
              </w:rPr>
              <w:t xml:space="preserve">JOURNAL</w:t>
            </w:r>
          </w:p>
        </w:tc>
        <w:tc>
          <w:tcPr>
            <w:tcW w:type="dxa" w:w="24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val="false"/>
                <w:bCs w:val="false"/>
                <w:i/>
                <w:iCs/>
                <w:color w:val="333333"/>
                <w:sz w:val="17"/>
                <w:szCs w:val="17"/>
              </w:rPr>
              <w:t xml:space="preserve">Programming and Scripting, Testing and Validation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bCs/>
                <w:i w:val="false"/>
                <w:iCs w:val="false"/>
                <w:color w:val="1A2C4E"/>
                <w:sz w:val="18"/>
                <w:szCs w:val="18"/>
              </w:rPr>
              <w:t xml:space="preserve">UKCLM-11492</w:t>
            </w:r>
          </w:p>
        </w:tc>
        <w:tc>
          <w:tcPr>
            <w:tcW w:type="dxa" w:w="9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val="false"/>
                <w:bCs w:val="false"/>
                <w:i w:val="false"/>
                <w:iCs w:val="false"/>
                <w:color w:val="1A1A1A"/>
                <w:sz w:val="17"/>
                <w:szCs w:val="17"/>
              </w:rPr>
              <w:t xml:space="preserve">UI Test</w:t>
            </w:r>
          </w:p>
        </w:tc>
        <w:tc>
          <w:tcPr>
            <w:tcW w:type="dxa" w:w="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val="false"/>
                <w:bCs w:val="false"/>
                <w:i w:val="false"/>
                <w:iCs w:val="false"/>
                <w:color w:val="1A1A1A"/>
                <w:sz w:val="17"/>
                <w:szCs w:val="17"/>
              </w:rPr>
              <w:t xml:space="preserve">13 Feb 2026</w:t>
            </w:r>
          </w:p>
        </w:tc>
        <w:tc>
          <w:tcPr>
            <w:tcW w:type="dxa" w:w="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bCs/>
                <w:i w:val="false"/>
                <w:iCs w:val="false"/>
                <w:color w:val="1A1A1A"/>
                <w:sz w:val="18"/>
                <w:szCs w:val="18"/>
              </w:rPr>
              <w:t xml:space="preserve">18 Feb 2026</w:t>
            </w:r>
          </w:p>
        </w:tc>
        <w:tc>
          <w:tcPr>
            <w:tcW w:type="dxa" w:w="19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val="false"/>
                <w:bCs w:val="false"/>
                <w:i w:val="false"/>
                <w:iCs w:val="false"/>
                <w:color w:val="1A1A1A"/>
                <w:sz w:val="17"/>
                <w:szCs w:val="17"/>
              </w:rPr>
              <w:t xml:space="preserve">UI test delivery, merged PR 7791.</w:t>
            </w:r>
          </w:p>
        </w:tc>
        <w:tc>
          <w:tcPr>
            <w:tcW w:type="dxa" w:w="9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16"/>
                <w:szCs w:val="16"/>
              </w:rPr>
              <w:t xml:space="preserve">JOURNAL</w:t>
            </w:r>
          </w:p>
        </w:tc>
        <w:tc>
          <w:tcPr>
            <w:tcW w:type="dxa" w:w="24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val="false"/>
                <w:bCs w:val="false"/>
                <w:i/>
                <w:iCs/>
                <w:color w:val="333333"/>
                <w:sz w:val="17"/>
                <w:szCs w:val="17"/>
              </w:rPr>
              <w:t xml:space="preserve">Testing and Validation, Testing Platforms and Frameworks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bCs/>
                <w:i w:val="false"/>
                <w:iCs w:val="false"/>
                <w:color w:val="1A2C4E"/>
                <w:sz w:val="18"/>
                <w:szCs w:val="18"/>
              </w:rPr>
              <w:t xml:space="preserve">UKCLM-11318</w:t>
            </w:r>
          </w:p>
        </w:tc>
        <w:tc>
          <w:tcPr>
            <w:tcW w:type="dxa" w:w="9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val="false"/>
                <w:bCs w:val="false"/>
                <w:i w:val="false"/>
                <w:iCs w:val="false"/>
                <w:color w:val="1A1A1A"/>
                <w:sz w:val="17"/>
                <w:szCs w:val="17"/>
              </w:rPr>
              <w:t xml:space="preserve">Bug Fix / Improvement</w:t>
            </w:r>
          </w:p>
        </w:tc>
        <w:tc>
          <w:tcPr>
            <w:tcW w:type="dxa" w:w="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val="false"/>
                <w:bCs w:val="false"/>
                <w:i w:val="false"/>
                <w:iCs w:val="false"/>
                <w:color w:val="1A1A1A"/>
                <w:sz w:val="17"/>
                <w:szCs w:val="17"/>
              </w:rPr>
              <w:t xml:space="preserve">24 Feb 2026</w:t>
            </w:r>
          </w:p>
        </w:tc>
        <w:tc>
          <w:tcPr>
            <w:tcW w:type="dxa" w:w="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bCs/>
                <w:i w:val="false"/>
                <w:iCs w:val="false"/>
                <w:color w:val="1A1A1A"/>
                <w:sz w:val="18"/>
                <w:szCs w:val="18"/>
              </w:rPr>
              <w:t xml:space="preserve">25 Feb 2026</w:t>
            </w:r>
          </w:p>
        </w:tc>
        <w:tc>
          <w:tcPr>
            <w:tcW w:type="dxa" w:w="19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val="false"/>
                <w:bCs w:val="false"/>
                <w:i w:val="false"/>
                <w:iCs w:val="false"/>
                <w:color w:val="1A1A1A"/>
                <w:sz w:val="17"/>
                <w:szCs w:val="17"/>
              </w:rPr>
              <w:t xml:space="preserve">Progress bar bug fix. Screenshots shared with design team before merge. PRs 7800 and 7808.</w:t>
            </w:r>
          </w:p>
        </w:tc>
        <w:tc>
          <w:tcPr>
            <w:tcW w:type="dxa" w:w="9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16"/>
                <w:szCs w:val="16"/>
              </w:rPr>
              <w:t xml:space="preserve">JOURNAL</w:t>
            </w:r>
          </w:p>
        </w:tc>
        <w:tc>
          <w:tcPr>
            <w:tcW w:type="dxa" w:w="24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val="false"/>
                <w:bCs w:val="false"/>
                <w:i/>
                <w:iCs/>
                <w:color w:val="333333"/>
                <w:sz w:val="17"/>
                <w:szCs w:val="17"/>
              </w:rPr>
              <w:t xml:space="preserve">Customer Outcomes, Cross-Functional Interaction, Ownership Mentality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bCs/>
                <w:i w:val="false"/>
                <w:iCs w:val="false"/>
                <w:color w:val="1A2C4E"/>
                <w:sz w:val="18"/>
                <w:szCs w:val="18"/>
              </w:rPr>
              <w:t xml:space="preserve">UKCLM-11461</w:t>
            </w:r>
          </w:p>
        </w:tc>
        <w:tc>
          <w:tcPr>
            <w:tcW w:type="dxa" w:w="9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val="false"/>
                <w:bCs w:val="false"/>
                <w:i w:val="false"/>
                <w:iCs w:val="false"/>
                <w:color w:val="1A1A1A"/>
                <w:sz w:val="17"/>
                <w:szCs w:val="17"/>
              </w:rPr>
              <w:t xml:space="preserve">Feature + Unit Test</w:t>
            </w:r>
          </w:p>
        </w:tc>
        <w:tc>
          <w:tcPr>
            <w:tcW w:type="dxa" w:w="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val="false"/>
                <w:bCs w:val="false"/>
                <w:i w:val="false"/>
                <w:iCs w:val="false"/>
                <w:color w:val="1A1A1A"/>
                <w:sz w:val="17"/>
                <w:szCs w:val="17"/>
              </w:rPr>
              <w:t xml:space="preserve">19 Feb 2026</w:t>
            </w:r>
          </w:p>
        </w:tc>
        <w:tc>
          <w:tcPr>
            <w:tcW w:type="dxa" w:w="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bCs/>
                <w:i w:val="false"/>
                <w:iCs w:val="false"/>
                <w:color w:val="1A1A1A"/>
                <w:sz w:val="18"/>
                <w:szCs w:val="18"/>
              </w:rPr>
              <w:t xml:space="preserve">3 Mar 2026</w:t>
            </w:r>
          </w:p>
        </w:tc>
        <w:tc>
          <w:tcPr>
            <w:tcW w:type="dxa" w:w="19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val="false"/>
                <w:bCs w:val="false"/>
                <w:i w:val="false"/>
                <w:iCs w:val="false"/>
                <w:color w:val="1A1A1A"/>
                <w:sz w:val="17"/>
                <w:szCs w:val="17"/>
              </w:rPr>
              <w:t xml:space="preserve">iClip journey condition feature. Scope creep confirmed with Product Owner on 26 Feb before proceeding. PR 7762 commits.</w:t>
            </w:r>
          </w:p>
        </w:tc>
        <w:tc>
          <w:tcPr>
            <w:tcW w:type="dxa" w:w="9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16"/>
                <w:szCs w:val="16"/>
              </w:rPr>
              <w:t xml:space="preserve">JOURNAL</w:t>
            </w:r>
          </w:p>
        </w:tc>
        <w:tc>
          <w:tcPr>
            <w:tcW w:type="dxa" w:w="24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val="false"/>
                <w:bCs w:val="false"/>
                <w:i/>
                <w:iCs/>
                <w:color w:val="333333"/>
                <w:sz w:val="17"/>
                <w:szCs w:val="17"/>
              </w:rPr>
              <w:t xml:space="preserve">Sound Judgement (scope management), Project / Feature Leadership, Customer Outcomes</w:t>
            </w:r>
          </w:p>
        </w:tc>
      </w:tr>
    </w:tbl>
    <w:p>
      <w:pPr>
        <w:pBdr>
          <w:bottom w:val="single" w:color="CCCCCC" w:sz="4"/>
        </w:pBdr>
        <w:spacing w:before="180" w:after="180"/>
      </w:pPr>
    </w:p>
    <w:p>
      <w:pPr>
        <w:spacing w:before="320" w:after="120"/>
      </w:pPr>
      <w:r>
        <w:rPr>
          <w:rFonts w:ascii="Arial" w:cs="Arial" w:eastAsia="Arial" w:hAnsi="Arial"/>
          <w:b/>
          <w:bCs/>
          <w:color w:val="C8102E"/>
          <w:sz w:val="26"/>
          <w:szCs w:val="26"/>
        </w:rPr>
        <w:t xml:space="preserve">Section 3: Admin and SRE Task Evidence</w:t>
      </w:r>
    </w:p>
    <w:p>
      <w:pPr>
        <w:spacing w:before="80" w:after="80"/>
      </w:pPr>
      <w:r>
        <w:rPr>
          <w:rFonts w:ascii="Arial" w:cs="Arial" w:eastAsia="Arial" w:hAnsi="Arial"/>
          <w:b w:val="false"/>
          <w:bCs w:val="false"/>
          <w:i/>
          <w:iCs/>
          <w:color w:val="1A1A1A"/>
          <w:sz w:val="20"/>
          <w:szCs w:val="20"/>
        </w:rPr>
        <w:t xml:space="preserve">Source: Your dev journal (primary). These tasks came from the Admin/SRE category rows in your journal. Dates, named approvers, and outcomes all came from your own contemporaneous record.</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700"/>
        <w:gridCol w:w="2860"/>
        <w:gridCol w:w="700"/>
        <w:gridCol w:w="3900"/>
      </w:tblGrid>
      <w:tr>
        <w:tc>
          <w:tcPr>
            <w:tcW w:type="dxa" w:w="1200"/>
            <w:tcBorders>
              <w:top w:val="single" w:color="CCCCCC" w:sz="1"/>
              <w:left w:val="single" w:color="CCCCCC" w:sz="1"/>
              <w:bottom w:val="single" w:color="CCCCCC" w:sz="1"/>
              <w:right w:val="single" w:color="CCCCCC" w:sz="1"/>
            </w:tcBorders>
            <w:shd w:fill="2E4070" w:val="clear"/>
            <w:tcMar>
              <w:top w:type="dxa" w:w="90"/>
              <w:left w:type="dxa" w:w="120"/>
              <w:bottom w:type="dxa" w:w="90"/>
              <w:right w:type="dxa" w:w="120"/>
            </w:tcMar>
            <w:vAlign w:val="center"/>
          </w:tcPr>
          <w:p>
            <w:r>
              <w:rPr>
                <w:rFonts w:ascii="Arial" w:cs="Arial" w:eastAsia="Arial" w:hAnsi="Arial"/>
                <w:b/>
                <w:bCs/>
                <w:color w:val="FFFFFF"/>
                <w:sz w:val="19"/>
                <w:szCs w:val="19"/>
              </w:rPr>
              <w:t xml:space="preserve">Task</w:t>
            </w:r>
          </w:p>
        </w:tc>
        <w:tc>
          <w:tcPr>
            <w:tcW w:type="dxa" w:w="700"/>
            <w:tcBorders>
              <w:top w:val="single" w:color="CCCCCC" w:sz="1"/>
              <w:left w:val="single" w:color="CCCCCC" w:sz="1"/>
              <w:bottom w:val="single" w:color="CCCCCC" w:sz="1"/>
              <w:right w:val="single" w:color="CCCCCC" w:sz="1"/>
            </w:tcBorders>
            <w:shd w:fill="2E4070" w:val="clear"/>
            <w:tcMar>
              <w:top w:type="dxa" w:w="90"/>
              <w:left w:type="dxa" w:w="120"/>
              <w:bottom w:type="dxa" w:w="90"/>
              <w:right w:type="dxa" w:w="120"/>
            </w:tcMar>
            <w:vAlign w:val="center"/>
          </w:tcPr>
          <w:p>
            <w:r>
              <w:rPr>
                <w:rFonts w:ascii="Arial" w:cs="Arial" w:eastAsia="Arial" w:hAnsi="Arial"/>
                <w:b/>
                <w:bCs/>
                <w:color w:val="FFFFFF"/>
                <w:sz w:val="19"/>
                <w:szCs w:val="19"/>
              </w:rPr>
              <w:t xml:space="preserve">Completed</w:t>
            </w:r>
          </w:p>
        </w:tc>
        <w:tc>
          <w:tcPr>
            <w:tcW w:type="dxa" w:w="2860"/>
            <w:tcBorders>
              <w:top w:val="single" w:color="CCCCCC" w:sz="1"/>
              <w:left w:val="single" w:color="CCCCCC" w:sz="1"/>
              <w:bottom w:val="single" w:color="CCCCCC" w:sz="1"/>
              <w:right w:val="single" w:color="CCCCCC" w:sz="1"/>
            </w:tcBorders>
            <w:shd w:fill="2E4070" w:val="clear"/>
            <w:tcMar>
              <w:top w:type="dxa" w:w="90"/>
              <w:left w:type="dxa" w:w="120"/>
              <w:bottom w:type="dxa" w:w="90"/>
              <w:right w:type="dxa" w:w="120"/>
            </w:tcMar>
            <w:vAlign w:val="center"/>
          </w:tcPr>
          <w:p>
            <w:r>
              <w:rPr>
                <w:rFonts w:ascii="Arial" w:cs="Arial" w:eastAsia="Arial" w:hAnsi="Arial"/>
                <w:b/>
                <w:bCs/>
                <w:color w:val="FFFFFF"/>
                <w:sz w:val="19"/>
                <w:szCs w:val="19"/>
              </w:rPr>
              <w:t xml:space="preserve">What You Did</w:t>
            </w:r>
          </w:p>
        </w:tc>
        <w:tc>
          <w:tcPr>
            <w:tcW w:type="dxa" w:w="700"/>
            <w:tcBorders>
              <w:top w:val="single" w:color="CCCCCC" w:sz="1"/>
              <w:left w:val="single" w:color="CCCCCC" w:sz="1"/>
              <w:bottom w:val="single" w:color="CCCCCC" w:sz="1"/>
              <w:right w:val="single" w:color="CCCCCC" w:sz="1"/>
            </w:tcBorders>
            <w:shd w:fill="2E4070" w:val="clear"/>
            <w:tcMar>
              <w:top w:type="dxa" w:w="90"/>
              <w:left w:type="dxa" w:w="120"/>
              <w:bottom w:type="dxa" w:w="90"/>
              <w:right w:type="dxa" w:w="120"/>
            </w:tcMar>
            <w:vAlign w:val="center"/>
          </w:tcPr>
          <w:p>
            <w:r>
              <w:rPr>
                <w:rFonts w:ascii="Arial" w:cs="Arial" w:eastAsia="Arial" w:hAnsi="Arial"/>
                <w:b/>
                <w:bCs/>
                <w:color w:val="FFFFFF"/>
                <w:sz w:val="19"/>
                <w:szCs w:val="19"/>
              </w:rPr>
              <w:t xml:space="preserve">Source</w:t>
            </w:r>
          </w:p>
        </w:tc>
        <w:tc>
          <w:tcPr>
            <w:tcW w:type="dxa" w:w="3900"/>
            <w:tcBorders>
              <w:top w:val="single" w:color="CCCCCC" w:sz="1"/>
              <w:left w:val="single" w:color="CCCCCC" w:sz="1"/>
              <w:bottom w:val="single" w:color="CCCCCC" w:sz="1"/>
              <w:right w:val="single" w:color="CCCCCC" w:sz="1"/>
            </w:tcBorders>
            <w:shd w:fill="2E4070" w:val="clear"/>
            <w:tcMar>
              <w:top w:type="dxa" w:w="90"/>
              <w:left w:type="dxa" w:w="120"/>
              <w:bottom w:type="dxa" w:w="90"/>
              <w:right w:type="dxa" w:w="120"/>
            </w:tcMar>
            <w:vAlign w:val="center"/>
          </w:tcPr>
          <w:p>
            <w:r>
              <w:rPr>
                <w:rFonts w:ascii="Arial" w:cs="Arial" w:eastAsia="Arial" w:hAnsi="Arial"/>
                <w:b/>
                <w:bCs/>
                <w:color w:val="FFFFFF"/>
                <w:sz w:val="19"/>
                <w:szCs w:val="19"/>
              </w:rPr>
              <w:t xml:space="preserve">L3 Competency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bCs/>
                <w:i w:val="false"/>
                <w:iCs w:val="false"/>
                <w:color w:val="1A2C4E"/>
                <w:sz w:val="18"/>
                <w:szCs w:val="18"/>
              </w:rPr>
              <w:t xml:space="preserve">API Gateway Dormancy</w:t>
            </w:r>
          </w:p>
        </w:tc>
        <w:tc>
          <w:tcPr>
            <w:tcW w:type="dxa" w:w="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bCs/>
                <w:i w:val="false"/>
                <w:iCs w:val="false"/>
                <w:color w:val="1A1A1A"/>
                <w:sz w:val="18"/>
                <w:szCs w:val="18"/>
              </w:rPr>
              <w:t xml:space="preserve">30 Jan 2026</w:t>
            </w:r>
          </w:p>
        </w:tc>
        <w:tc>
          <w:tcPr>
            <w:tcW w:type="dxa" w:w="28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val="false"/>
                <w:bCs w:val="false"/>
                <w:i w:val="false"/>
                <w:iCs w:val="false"/>
                <w:color w:val="1A1A1A"/>
                <w:sz w:val="17"/>
                <w:szCs w:val="17"/>
              </w:rPr>
              <w:t xml:space="preserve">Created deactivation request for dormant API Gateway policy. Informed risk team, obtained Phoenix approval, submitted manual deactivation request (Issues/32905). Reviewed SRE documentation for Counslr.</w:t>
            </w:r>
          </w:p>
        </w:tc>
        <w:tc>
          <w:tcPr>
            <w:tcW w:type="dxa" w:w="9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16"/>
                <w:szCs w:val="16"/>
              </w:rPr>
              <w:t xml:space="preserve">JOURNAL</w:t>
            </w:r>
          </w:p>
        </w:tc>
        <w:tc>
          <w:tcPr>
            <w:tcW w:type="dxa" w:w="39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val="false"/>
                <w:bCs w:val="false"/>
                <w:i/>
                <w:iCs/>
                <w:color w:val="333333"/>
                <w:sz w:val="17"/>
                <w:szCs w:val="17"/>
              </w:rPr>
              <w:t xml:space="preserve">Proactive Risk Identification, Infrastructure, Cross-Functional Interaction, Sound Judgement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bCs/>
                <w:i w:val="false"/>
                <w:iCs w:val="false"/>
                <w:color w:val="1A2C4E"/>
                <w:sz w:val="18"/>
                <w:szCs w:val="18"/>
              </w:rPr>
              <w:t xml:space="preserve">Click To Pay Counslr SLO</w:t>
            </w:r>
          </w:p>
        </w:tc>
        <w:tc>
          <w:tcPr>
            <w:tcW w:type="dxa" w:w="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bCs/>
                <w:i w:val="false"/>
                <w:iCs w:val="false"/>
                <w:color w:val="1A1A1A"/>
                <w:sz w:val="18"/>
                <w:szCs w:val="18"/>
              </w:rPr>
              <w:t xml:space="preserve">27 Jan 2026</w:t>
            </w:r>
          </w:p>
        </w:tc>
        <w:tc>
          <w:tcPr>
            <w:tcW w:type="dxa" w:w="28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val="false"/>
                <w:bCs w:val="false"/>
                <w:i w:val="false"/>
                <w:iCs w:val="false"/>
                <w:color w:val="1A1A1A"/>
                <w:sz w:val="17"/>
                <w:szCs w:val="17"/>
              </w:rPr>
              <w:t xml:space="preserve">Created SLOs from BA-provided requirements. Verified data retrieval on Counslr. Coordinated with Alex Smith on query review. Execution Plan approved by Rhian. Submitted for verification.</w:t>
            </w:r>
          </w:p>
        </w:tc>
        <w:tc>
          <w:tcPr>
            <w:tcW w:type="dxa" w:w="9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16"/>
                <w:szCs w:val="16"/>
              </w:rPr>
              <w:t xml:space="preserve">JOURNAL</w:t>
            </w:r>
          </w:p>
        </w:tc>
        <w:tc>
          <w:tcPr>
            <w:tcW w:type="dxa" w:w="39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val="false"/>
                <w:bCs w:val="false"/>
                <w:i/>
                <w:iCs/>
                <w:color w:val="333333"/>
                <w:sz w:val="17"/>
                <w:szCs w:val="17"/>
              </w:rPr>
              <w:t xml:space="preserve">Service Quality (KR 2.3), Observability (partial), Analytical Thinking, Cross-Functional Interaction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bCs/>
                <w:i w:val="false"/>
                <w:iCs w:val="false"/>
                <w:color w:val="1A2C4E"/>
                <w:sz w:val="18"/>
                <w:szCs w:val="18"/>
              </w:rPr>
              <w:t xml:space="preserve">Click To Pay RVT</w:t>
            </w:r>
          </w:p>
        </w:tc>
        <w:tc>
          <w:tcPr>
            <w:tcW w:type="dxa" w:w="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bCs/>
                <w:i w:val="false"/>
                <w:iCs w:val="false"/>
                <w:color w:val="1A1A1A"/>
                <w:sz w:val="18"/>
                <w:szCs w:val="18"/>
              </w:rPr>
              <w:t xml:space="preserve">4 Feb 2026</w:t>
            </w:r>
          </w:p>
        </w:tc>
        <w:tc>
          <w:tcPr>
            <w:tcW w:type="dxa" w:w="28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val="false"/>
                <w:bCs w:val="false"/>
                <w:i w:val="false"/>
                <w:iCs w:val="false"/>
                <w:color w:val="1A1A1A"/>
                <w:sz w:val="17"/>
                <w:szCs w:val="17"/>
              </w:rPr>
              <w:t xml:space="preserve">Attended Cloud Doctor sessions with SRE team to learn tooling. Scheduled RVT for 28 Jan. RVT fallback completed with evidence captured. Evidence link: RVT - BACOEPCLICK2PAYWALLETMANAGEMENT. Approved by Resiliency team.</w:t>
            </w:r>
          </w:p>
        </w:tc>
        <w:tc>
          <w:tcPr>
            <w:tcW w:type="dxa" w:w="9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16"/>
                <w:szCs w:val="16"/>
              </w:rPr>
              <w:t xml:space="preserve">JOURNAL</w:t>
            </w:r>
          </w:p>
        </w:tc>
        <w:tc>
          <w:tcPr>
            <w:tcW w:type="dxa" w:w="39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val="false"/>
                <w:bCs w:val="false"/>
                <w:i/>
                <w:iCs/>
                <w:color w:val="333333"/>
                <w:sz w:val="17"/>
                <w:szCs w:val="17"/>
              </w:rPr>
              <w:t xml:space="preserve">Service Quality (KR 2.2), Infrastructure, Cross-Functional Interaction, Results Focused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bCs/>
                <w:i w:val="false"/>
                <w:iCs w:val="false"/>
                <w:color w:val="1A2C4E"/>
                <w:sz w:val="18"/>
                <w:szCs w:val="18"/>
              </w:rPr>
              <w:t xml:space="preserve">Quarterly CBT</w:t>
            </w:r>
          </w:p>
        </w:tc>
        <w:tc>
          <w:tcPr>
            <w:tcW w:type="dxa" w:w="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bCs/>
                <w:i w:val="false"/>
                <w:iCs w:val="false"/>
                <w:color w:val="1A1A1A"/>
                <w:sz w:val="18"/>
                <w:szCs w:val="18"/>
              </w:rPr>
              <w:t xml:space="preserve">27 Jan 2026</w:t>
            </w:r>
          </w:p>
        </w:tc>
        <w:tc>
          <w:tcPr>
            <w:tcW w:type="dxa" w:w="28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val="false"/>
                <w:bCs w:val="false"/>
                <w:i w:val="false"/>
                <w:iCs w:val="false"/>
                <w:color w:val="1A1A1A"/>
                <w:sz w:val="17"/>
                <w:szCs w:val="17"/>
              </w:rPr>
              <w:t xml:space="preserve">All 4 quarterly CBTs completed on time.</w:t>
            </w:r>
          </w:p>
        </w:tc>
        <w:tc>
          <w:tcPr>
            <w:tcW w:type="dxa" w:w="9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16"/>
                <w:szCs w:val="16"/>
              </w:rPr>
              <w:t xml:space="preserve">JOURNAL</w:t>
            </w:r>
          </w:p>
        </w:tc>
        <w:tc>
          <w:tcPr>
            <w:tcW w:type="dxa" w:w="39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val="false"/>
                <w:bCs w:val="false"/>
                <w:i/>
                <w:iCs/>
                <w:color w:val="333333"/>
                <w:sz w:val="17"/>
                <w:szCs w:val="17"/>
              </w:rPr>
              <w:t xml:space="preserve">Lives the Values, CI/CD and Development Tools (compliance)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bCs/>
                <w:i w:val="false"/>
                <w:iCs w:val="false"/>
                <w:color w:val="1A2C4E"/>
                <w:sz w:val="18"/>
                <w:szCs w:val="18"/>
              </w:rPr>
              <w:t xml:space="preserve">SonarQube Code Duplication</w:t>
            </w:r>
          </w:p>
        </w:tc>
        <w:tc>
          <w:tcPr>
            <w:tcW w:type="dxa" w:w="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bCs/>
                <w:i w:val="false"/>
                <w:iCs w:val="false"/>
                <w:color w:val="1A1A1A"/>
                <w:sz w:val="18"/>
                <w:szCs w:val="18"/>
              </w:rPr>
              <w:t xml:space="preserve">4 Mar 2026</w:t>
            </w:r>
          </w:p>
        </w:tc>
        <w:tc>
          <w:tcPr>
            <w:tcW w:type="dxa" w:w="28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val="false"/>
                <w:bCs w:val="false"/>
                <w:i w:val="false"/>
                <w:iCs w:val="false"/>
                <w:color w:val="1A1A1A"/>
                <w:sz w:val="17"/>
                <w:szCs w:val="17"/>
              </w:rPr>
              <w:t xml:space="preserve">Identified 16-18% code duplication across IClipCashAdvanceLayout and IClipOpenBankingLayout. Designed and implemented IClipQuestionLayout generic composable. Merged PR 7826.</w:t>
            </w:r>
          </w:p>
        </w:tc>
        <w:tc>
          <w:tcPr>
            <w:tcW w:type="dxa" w:w="9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16"/>
                <w:szCs w:val="16"/>
              </w:rPr>
              <w:t xml:space="preserve">JOURNAL</w:t>
            </w:r>
          </w:p>
        </w:tc>
        <w:tc>
          <w:tcPr>
            <w:tcW w:type="dxa" w:w="39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val="false"/>
                <w:bCs w:val="false"/>
                <w:i/>
                <w:iCs/>
                <w:color w:val="333333"/>
                <w:sz w:val="17"/>
                <w:szCs w:val="17"/>
              </w:rPr>
              <w:t xml:space="preserve">Technical Debt Identification, Technical Leadership, Ownership Mentality, Analytical Thinking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bCs/>
                <w:i w:val="false"/>
                <w:iCs w:val="false"/>
                <w:color w:val="1A2C4E"/>
                <w:sz w:val="18"/>
                <w:szCs w:val="18"/>
              </w:rPr>
              <w:t xml:space="preserve">Reduce Error Toast Duration</w:t>
            </w:r>
          </w:p>
        </w:tc>
        <w:tc>
          <w:tcPr>
            <w:tcW w:type="dxa" w:w="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bCs/>
                <w:i w:val="false"/>
                <w:iCs w:val="false"/>
                <w:color w:val="1A1A1A"/>
                <w:sz w:val="18"/>
                <w:szCs w:val="18"/>
              </w:rPr>
              <w:t xml:space="preserve">4 Mar 2026</w:t>
            </w:r>
          </w:p>
        </w:tc>
        <w:tc>
          <w:tcPr>
            <w:tcW w:type="dxa" w:w="28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val="false"/>
                <w:bCs w:val="false"/>
                <w:i w:val="false"/>
                <w:iCs w:val="false"/>
                <w:color w:val="1A1A1A"/>
                <w:sz w:val="17"/>
                <w:szCs w:val="17"/>
              </w:rPr>
              <w:t xml:space="preserve">Reduced toast from ~5s to ~3s on Increase Amount screen. Used SnackbarDuration.Indefinite plus manual delay. Change localised to that screen only. Merged PR 7831.</w:t>
            </w:r>
          </w:p>
        </w:tc>
        <w:tc>
          <w:tcPr>
            <w:tcW w:type="dxa" w:w="900"/>
            <w:tcBorders>
              <w:top w:val="single" w:color="CCCCCC" w:sz="1"/>
              <w:left w:val="single" w:color="CCCCCC" w:sz="1"/>
              <w:bottom w:val="single" w:color="CCCCCC" w:sz="1"/>
              <w:right w:val="single" w:color="CCCCCC" w:sz="1"/>
            </w:tcBorders>
            <w:shd w:fill="D4EDDA" w:val="clear"/>
            <w:tcMar>
              <w:top w:type="dxa" w:w="80"/>
              <w:left w:type="dxa" w:w="80"/>
              <w:bottom w:type="dxa" w:w="80"/>
              <w:right w:type="dxa" w:w="80"/>
            </w:tcMar>
            <w:vAlign w:val="center"/>
          </w:tcPr>
          <w:p>
            <w:pPr>
              <w:jc w:val="center"/>
            </w:pPr>
            <w:r>
              <w:rPr>
                <w:rFonts w:ascii="Arial" w:cs="Arial" w:eastAsia="Arial" w:hAnsi="Arial"/>
                <w:b/>
                <w:bCs/>
                <w:color w:val="155724"/>
                <w:sz w:val="16"/>
                <w:szCs w:val="16"/>
              </w:rPr>
              <w:t xml:space="preserve">JOURNAL</w:t>
            </w:r>
          </w:p>
        </w:tc>
        <w:tc>
          <w:tcPr>
            <w:tcW w:type="dxa" w:w="39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val="false"/>
                <w:bCs w:val="false"/>
                <w:i/>
                <w:iCs/>
                <w:color w:val="333333"/>
                <w:sz w:val="17"/>
                <w:szCs w:val="17"/>
              </w:rPr>
              <w:t xml:space="preserve">Customer Outcomes, Sound Judgement, Programming and Scripting</w:t>
            </w:r>
          </w:p>
        </w:tc>
      </w:tr>
    </w:tbl>
    <w:p>
      <w:pPr>
        <w:pBdr>
          <w:bottom w:val="single" w:color="CCCCCC" w:sz="4"/>
        </w:pBdr>
        <w:spacing w:before="180" w:after="180"/>
      </w:pPr>
    </w:p>
    <w:p>
      <w:pPr>
        <w:spacing w:before="320" w:after="120"/>
      </w:pPr>
      <w:r>
        <w:rPr>
          <w:rFonts w:ascii="Arial" w:cs="Arial" w:eastAsia="Arial" w:hAnsi="Arial"/>
          <w:b/>
          <w:bCs/>
          <w:color w:val="C8102E"/>
          <w:sz w:val="26"/>
          <w:szCs w:val="26"/>
        </w:rPr>
        <w:t xml:space="preserve">Section 4: Windsurf Codebase Analysis Evidence</w:t>
      </w:r>
    </w:p>
    <w:p>
      <w:pPr>
        <w:spacing w:before="80" w:after="80"/>
      </w:pPr>
      <w:r>
        <w:rPr>
          <w:rFonts w:ascii="Arial" w:cs="Arial" w:eastAsia="Arial" w:hAnsi="Arial"/>
          <w:b w:val="false"/>
          <w:bCs w:val="false"/>
          <w:i/>
          <w:iCs/>
          <w:color w:val="1A1A1A"/>
          <w:sz w:val="20"/>
          <w:szCs w:val="20"/>
        </w:rPr>
        <w:t xml:space="preserve">Source: Windsurf AI codebase analysis of your merged PRs (secondary). Use with attribution and approximate language as shown. The analysis reviewed your actual committed code on Capital One's internal GitHub — it is credible but should not be presented as independently verified.</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700"/>
        <w:gridCol w:w="2660"/>
        <w:gridCol w:w="2600"/>
      </w:tblGrid>
      <w:tr>
        <w:tc>
          <w:tcPr>
            <w:tcW w:type="dxa" w:w="1200"/>
            <w:tcBorders>
              <w:top w:val="single" w:color="CCCCCC" w:sz="1"/>
              <w:left w:val="single" w:color="CCCCCC" w:sz="1"/>
              <w:bottom w:val="single" w:color="CCCCCC" w:sz="1"/>
              <w:right w:val="single" w:color="CCCCCC" w:sz="1"/>
            </w:tcBorders>
            <w:shd w:fill="2E4070" w:val="clear"/>
            <w:tcMar>
              <w:top w:type="dxa" w:w="90"/>
              <w:left w:type="dxa" w:w="120"/>
              <w:bottom w:type="dxa" w:w="90"/>
              <w:right w:type="dxa" w:w="120"/>
            </w:tcMar>
            <w:vAlign w:val="center"/>
          </w:tcPr>
          <w:p>
            <w:r>
              <w:rPr>
                <w:rFonts w:ascii="Arial" w:cs="Arial" w:eastAsia="Arial" w:hAnsi="Arial"/>
                <w:b/>
                <w:bCs/>
                <w:color w:val="FFFFFF"/>
                <w:sz w:val="19"/>
                <w:szCs w:val="19"/>
              </w:rPr>
              <w:t xml:space="preserve">Claim</w:t>
            </w:r>
          </w:p>
        </w:tc>
        <w:tc>
          <w:tcPr>
            <w:tcW w:type="dxa" w:w="2200"/>
            <w:tcBorders>
              <w:top w:val="single" w:color="CCCCCC" w:sz="1"/>
              <w:left w:val="single" w:color="CCCCCC" w:sz="1"/>
              <w:bottom w:val="single" w:color="CCCCCC" w:sz="1"/>
              <w:right w:val="single" w:color="CCCCCC" w:sz="1"/>
            </w:tcBorders>
            <w:shd w:fill="2E4070" w:val="clear"/>
            <w:tcMar>
              <w:top w:type="dxa" w:w="90"/>
              <w:left w:type="dxa" w:w="120"/>
              <w:bottom w:type="dxa" w:w="90"/>
              <w:right w:type="dxa" w:w="120"/>
            </w:tcMar>
            <w:vAlign w:val="center"/>
          </w:tcPr>
          <w:p>
            <w:r>
              <w:rPr>
                <w:rFonts w:ascii="Arial" w:cs="Arial" w:eastAsia="Arial" w:hAnsi="Arial"/>
                <w:b/>
                <w:bCs/>
                <w:color w:val="FFFFFF"/>
                <w:sz w:val="19"/>
                <w:szCs w:val="19"/>
              </w:rPr>
              <w:t xml:space="preserve">Detail</w:t>
            </w:r>
          </w:p>
        </w:tc>
        <w:tc>
          <w:tcPr>
            <w:tcW w:type="dxa" w:w="700"/>
            <w:tcBorders>
              <w:top w:val="single" w:color="CCCCCC" w:sz="1"/>
              <w:left w:val="single" w:color="CCCCCC" w:sz="1"/>
              <w:bottom w:val="single" w:color="CCCCCC" w:sz="1"/>
              <w:right w:val="single" w:color="CCCCCC" w:sz="1"/>
            </w:tcBorders>
            <w:shd w:fill="2E4070" w:val="clear"/>
            <w:tcMar>
              <w:top w:type="dxa" w:w="90"/>
              <w:left w:type="dxa" w:w="120"/>
              <w:bottom w:type="dxa" w:w="90"/>
              <w:right w:type="dxa" w:w="120"/>
            </w:tcMar>
            <w:vAlign w:val="center"/>
          </w:tcPr>
          <w:p>
            <w:r>
              <w:rPr>
                <w:rFonts w:ascii="Arial" w:cs="Arial" w:eastAsia="Arial" w:hAnsi="Arial"/>
                <w:b/>
                <w:bCs/>
                <w:color w:val="FFFFFF"/>
                <w:sz w:val="19"/>
                <w:szCs w:val="19"/>
              </w:rPr>
              <w:t xml:space="preserve">Source</w:t>
            </w:r>
          </w:p>
        </w:tc>
        <w:tc>
          <w:tcPr>
            <w:tcW w:type="dxa" w:w="2660"/>
            <w:tcBorders>
              <w:top w:val="single" w:color="CCCCCC" w:sz="1"/>
              <w:left w:val="single" w:color="CCCCCC" w:sz="1"/>
              <w:bottom w:val="single" w:color="CCCCCC" w:sz="1"/>
              <w:right w:val="single" w:color="CCCCCC" w:sz="1"/>
            </w:tcBorders>
            <w:shd w:fill="2E4070" w:val="clear"/>
            <w:tcMar>
              <w:top w:type="dxa" w:w="90"/>
              <w:left w:type="dxa" w:w="120"/>
              <w:bottom w:type="dxa" w:w="90"/>
              <w:right w:type="dxa" w:w="120"/>
            </w:tcMar>
            <w:vAlign w:val="center"/>
          </w:tcPr>
          <w:p>
            <w:r>
              <w:rPr>
                <w:rFonts w:ascii="Arial" w:cs="Arial" w:eastAsia="Arial" w:hAnsi="Arial"/>
                <w:b/>
                <w:bCs/>
                <w:color w:val="FFFFFF"/>
                <w:sz w:val="19"/>
                <w:szCs w:val="19"/>
              </w:rPr>
              <w:t xml:space="preserve">How to Use in Slides</w:t>
            </w:r>
          </w:p>
        </w:tc>
        <w:tc>
          <w:tcPr>
            <w:tcW w:type="dxa" w:w="2600"/>
            <w:tcBorders>
              <w:top w:val="single" w:color="CCCCCC" w:sz="1"/>
              <w:left w:val="single" w:color="CCCCCC" w:sz="1"/>
              <w:bottom w:val="single" w:color="CCCCCC" w:sz="1"/>
              <w:right w:val="single" w:color="CCCCCC" w:sz="1"/>
            </w:tcBorders>
            <w:shd w:fill="2E4070" w:val="clear"/>
            <w:tcMar>
              <w:top w:type="dxa" w:w="90"/>
              <w:left w:type="dxa" w:w="120"/>
              <w:bottom w:type="dxa" w:w="90"/>
              <w:right w:type="dxa" w:w="120"/>
            </w:tcMar>
            <w:vAlign w:val="center"/>
          </w:tcPr>
          <w:p>
            <w:r>
              <w:rPr>
                <w:rFonts w:ascii="Arial" w:cs="Arial" w:eastAsia="Arial" w:hAnsi="Arial"/>
                <w:b/>
                <w:bCs/>
                <w:color w:val="FFFFFF"/>
                <w:sz w:val="19"/>
                <w:szCs w:val="19"/>
              </w:rPr>
              <w:t xml:space="preserve">L3 Competency</w:t>
            </w:r>
          </w:p>
        </w:tc>
      </w:tr>
      <w:tr>
        <w:tc>
          <w:tcPr>
            <w:tcW w:type="dxa" w:w="9360"/>
            <w:gridSpan w:val="5"/>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i/>
                <w:iCs/>
                <w:color w:val="0D47A1"/>
                <w:sz w:val="17"/>
                <w:szCs w:val="17"/>
              </w:rPr>
              <w:t xml:space="preserve">NOTE: All entries in this table come from Windsurf AI codebase analysis of your merged commits. They are credible secondary source evidence and should always be attributed as shown in the 'How to Use' column. Do not present these as independently verified facts.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bCs/>
                <w:i w:val="false"/>
                <w:iCs w:val="false"/>
                <w:color w:val="1A2C4E"/>
                <w:sz w:val="18"/>
                <w:szCs w:val="18"/>
              </w:rPr>
              <w:t xml:space="preserve">Kotlin patterns used across PRs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val="false"/>
                <w:bCs w:val="false"/>
                <w:i w:val="false"/>
                <w:iCs w:val="false"/>
                <w:color w:val="1A1A1A"/>
                <w:sz w:val="17"/>
                <w:szCs w:val="17"/>
              </w:rPr>
              <w:t xml:space="preserve">data classes, sealed-style enums, operator fun invoke(), extension functions, runCatching, BigDecimal for financial amounts</w:t>
            </w:r>
          </w:p>
        </w:tc>
        <w:tc>
          <w:tcPr>
            <w:tcW w:type="dxa" w:w="900"/>
            <w:tcBorders>
              <w:top w:val="single" w:color="CCCCCC" w:sz="1"/>
              <w:left w:val="single" w:color="CCCCCC" w:sz="1"/>
              <w:bottom w:val="single" w:color="CCCCCC" w:sz="1"/>
              <w:right w:val="single" w:color="CCCCCC" w:sz="1"/>
            </w:tcBorders>
            <w:shd w:fill="FFF3CD" w:val="clear"/>
            <w:tcMar>
              <w:top w:type="dxa" w:w="80"/>
              <w:left w:type="dxa" w:w="80"/>
              <w:bottom w:type="dxa" w:w="80"/>
              <w:right w:type="dxa" w:w="80"/>
            </w:tcMar>
            <w:vAlign w:val="center"/>
          </w:tcPr>
          <w:p>
            <w:pPr>
              <w:jc w:val="center"/>
            </w:pPr>
            <w:r>
              <w:rPr>
                <w:rFonts w:ascii="Arial" w:cs="Arial" w:eastAsia="Arial" w:hAnsi="Arial"/>
                <w:b/>
                <w:bCs/>
                <w:color w:val="7B5E00"/>
                <w:sz w:val="16"/>
                <w:szCs w:val="16"/>
              </w:rPr>
              <w:t xml:space="preserve">WINDSURF</w:t>
            </w:r>
          </w:p>
        </w:tc>
        <w:tc>
          <w:tcPr>
            <w:tcW w:type="dxa" w:w="2660"/>
            <w:tcBorders>
              <w:top w:val="single" w:color="CCCCCC" w:sz="1"/>
              <w:left w:val="single" w:color="CCCCCC" w:sz="1"/>
              <w:bottom w:val="single" w:color="CCCCCC" w:sz="1"/>
              <w:right w:val="single" w:color="CCCCCC" w:sz="1"/>
            </w:tcBorders>
            <w:shd w:fill="E3F2FD" w:val="clear"/>
            <w:tcMar>
              <w:top w:type="dxa" w:w="80"/>
              <w:left w:type="dxa" w:w="110"/>
              <w:bottom w:type="dxa" w:w="80"/>
              <w:right w:type="dxa" w:w="110"/>
            </w:tcMar>
            <w:vAlign w:val="top"/>
          </w:tcPr>
          <w:p>
            <w:r>
              <w:rPr>
                <w:rFonts w:ascii="Arial" w:cs="Arial" w:eastAsia="Arial" w:hAnsi="Arial"/>
                <w:b w:val="false"/>
                <w:bCs w:val="false"/>
                <w:i/>
                <w:iCs/>
                <w:color w:val="0D47A1"/>
                <w:sz w:val="17"/>
                <w:szCs w:val="17"/>
              </w:rPr>
              <w:t xml:space="preserve">State as: 'Per Windsurf codebase analysis of merged PRs, Kotlin patterns used include...' Do not present as independently verified.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Programming and Scripting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bCs/>
                <w:i w:val="false"/>
                <w:iCs w:val="false"/>
                <w:color w:val="1A2C4E"/>
                <w:sz w:val="18"/>
                <w:szCs w:val="18"/>
              </w:rPr>
              <w:t xml:space="preserve">Jetpack Compose and Android architecture patterns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val="false"/>
                <w:bCs w:val="false"/>
                <w:i w:val="false"/>
                <w:iCs w:val="false"/>
                <w:color w:val="1A1A1A"/>
                <w:sz w:val="17"/>
                <w:szCs w:val="17"/>
              </w:rPr>
              <w:t xml:space="preserve">@Composable functions, StateFlow + collectAsStateWithLifecycle, rememberSaveable, Hilt DI via @HiltViewModel and @Inject, MutableStateFlow, SharingStarted.WhileSubscribed, viewModelScope.launch, NavGraphBuilder.navigation() scoped graph-level ViewModel</w:t>
            </w:r>
          </w:p>
        </w:tc>
        <w:tc>
          <w:tcPr>
            <w:tcW w:type="dxa" w:w="900"/>
            <w:tcBorders>
              <w:top w:val="single" w:color="CCCCCC" w:sz="1"/>
              <w:left w:val="single" w:color="CCCCCC" w:sz="1"/>
              <w:bottom w:val="single" w:color="CCCCCC" w:sz="1"/>
              <w:right w:val="single" w:color="CCCCCC" w:sz="1"/>
            </w:tcBorders>
            <w:shd w:fill="FFF3CD" w:val="clear"/>
            <w:tcMar>
              <w:top w:type="dxa" w:w="80"/>
              <w:left w:type="dxa" w:w="80"/>
              <w:bottom w:type="dxa" w:w="80"/>
              <w:right w:type="dxa" w:w="80"/>
            </w:tcMar>
            <w:vAlign w:val="center"/>
          </w:tcPr>
          <w:p>
            <w:pPr>
              <w:jc w:val="center"/>
            </w:pPr>
            <w:r>
              <w:rPr>
                <w:rFonts w:ascii="Arial" w:cs="Arial" w:eastAsia="Arial" w:hAnsi="Arial"/>
                <w:b/>
                <w:bCs/>
                <w:color w:val="7B5E00"/>
                <w:sz w:val="16"/>
                <w:szCs w:val="16"/>
              </w:rPr>
              <w:t xml:space="preserve">WINDSURF</w:t>
            </w:r>
          </w:p>
        </w:tc>
        <w:tc>
          <w:tcPr>
            <w:tcW w:type="dxa" w:w="2660"/>
            <w:tcBorders>
              <w:top w:val="single" w:color="CCCCCC" w:sz="1"/>
              <w:left w:val="single" w:color="CCCCCC" w:sz="1"/>
              <w:bottom w:val="single" w:color="CCCCCC" w:sz="1"/>
              <w:right w:val="single" w:color="CCCCCC" w:sz="1"/>
            </w:tcBorders>
            <w:shd w:fill="E3F2FD" w:val="clear"/>
            <w:tcMar>
              <w:top w:type="dxa" w:w="80"/>
              <w:left w:type="dxa" w:w="110"/>
              <w:bottom w:type="dxa" w:w="80"/>
              <w:right w:type="dxa" w:w="110"/>
            </w:tcMar>
            <w:vAlign w:val="top"/>
          </w:tcPr>
          <w:p>
            <w:r>
              <w:rPr>
                <w:rFonts w:ascii="Arial" w:cs="Arial" w:eastAsia="Arial" w:hAnsi="Arial"/>
                <w:b w:val="false"/>
                <w:bCs w:val="false"/>
                <w:i/>
                <w:iCs/>
                <w:color w:val="0D47A1"/>
                <w:sz w:val="17"/>
                <w:szCs w:val="17"/>
              </w:rPr>
              <w:t xml:space="preserve">State as: 'Windsurf analysis of my merged PRs identified the following Compose and architecture patterns...'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Programming and Scripting, System Design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bCs/>
                <w:i w:val="false"/>
                <w:iCs w:val="false"/>
                <w:color w:val="1A2C4E"/>
                <w:sz w:val="18"/>
                <w:szCs w:val="18"/>
              </w:rPr>
              <w:t xml:space="preserve">Total commits, files, and lines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val="false"/>
                <w:bCs w:val="false"/>
                <w:i w:val="false"/>
                <w:iCs w:val="false"/>
                <w:color w:val="1A1A1A"/>
                <w:sz w:val="17"/>
                <w:szCs w:val="17"/>
              </w:rPr>
              <w:t xml:space="preserve">7 commits spanning 12 Feb to 4 Mar 2026. Approximately 53 files changed. Approximately +2,781 lines added, approximately -466 lines removed.</w:t>
            </w:r>
          </w:p>
        </w:tc>
        <w:tc>
          <w:tcPr>
            <w:tcW w:type="dxa" w:w="900"/>
            <w:tcBorders>
              <w:top w:val="single" w:color="CCCCCC" w:sz="1"/>
              <w:left w:val="single" w:color="CCCCCC" w:sz="1"/>
              <w:bottom w:val="single" w:color="CCCCCC" w:sz="1"/>
              <w:right w:val="single" w:color="CCCCCC" w:sz="1"/>
            </w:tcBorders>
            <w:shd w:fill="FFF3CD" w:val="clear"/>
            <w:tcMar>
              <w:top w:type="dxa" w:w="80"/>
              <w:left w:type="dxa" w:w="80"/>
              <w:bottom w:type="dxa" w:w="80"/>
              <w:right w:type="dxa" w:w="80"/>
            </w:tcMar>
            <w:vAlign w:val="center"/>
          </w:tcPr>
          <w:p>
            <w:pPr>
              <w:jc w:val="center"/>
            </w:pPr>
            <w:r>
              <w:rPr>
                <w:rFonts w:ascii="Arial" w:cs="Arial" w:eastAsia="Arial" w:hAnsi="Arial"/>
                <w:b/>
                <w:bCs/>
                <w:color w:val="7B5E00"/>
                <w:sz w:val="16"/>
                <w:szCs w:val="16"/>
              </w:rPr>
              <w:t xml:space="preserve">WINDSURF</w:t>
            </w:r>
          </w:p>
        </w:tc>
        <w:tc>
          <w:tcPr>
            <w:tcW w:type="dxa" w:w="2660"/>
            <w:tcBorders>
              <w:top w:val="single" w:color="CCCCCC" w:sz="1"/>
              <w:left w:val="single" w:color="CCCCCC" w:sz="1"/>
              <w:bottom w:val="single" w:color="CCCCCC" w:sz="1"/>
              <w:right w:val="single" w:color="CCCCCC" w:sz="1"/>
            </w:tcBorders>
            <w:shd w:fill="E3F2FD" w:val="clear"/>
            <w:tcMar>
              <w:top w:type="dxa" w:w="80"/>
              <w:left w:type="dxa" w:w="110"/>
              <w:bottom w:type="dxa" w:w="80"/>
              <w:right w:type="dxa" w:w="110"/>
            </w:tcMar>
            <w:vAlign w:val="top"/>
          </w:tcPr>
          <w:p>
            <w:r>
              <w:rPr>
                <w:rFonts w:ascii="Arial" w:cs="Arial" w:eastAsia="Arial" w:hAnsi="Arial"/>
                <w:b w:val="false"/>
                <w:bCs w:val="false"/>
                <w:i/>
                <w:iCs/>
                <w:color w:val="0D47A1"/>
                <w:sz w:val="17"/>
                <w:szCs w:val="17"/>
              </w:rPr>
              <w:t xml:space="preserve">State as: 'Windsurf codebase analysis of my 7 commits between 12 Feb and 4 Mar 2026 identified approximately 53 files changed and over 2,700 lines of production code added.' The date range and commit count are confirmed from journal. The file and line counts are Windsurf estimates.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Programming and Scripting, Results Focused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bCs/>
                <w:i w:val="false"/>
                <w:iCs w:val="false"/>
                <w:color w:val="1A2C4E"/>
                <w:sz w:val="18"/>
                <w:szCs w:val="18"/>
              </w:rPr>
              <w:t xml:space="preserve">Test file names and approximate test counts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val="false"/>
                <w:bCs w:val="false"/>
                <w:i w:val="false"/>
                <w:iCs w:val="false"/>
                <w:color w:val="1A1A1A"/>
                <w:sz w:val="17"/>
                <w:szCs w:val="17"/>
              </w:rPr>
              <w:t xml:space="preserve">IClipIncreaseAmountViewModelTest (~22 tests), IClipNavigationViewModelTest (~12 nested tests), ClipOfferViewModelNewCreditLimitSimpleTest (~5 tests), GetIClipOfferTest (~3 tests), ClipRepositoryTest (~9 tests), ICLIPTest UI (~6 UI tests). Approximate total: ~57 tests.</w:t>
            </w:r>
          </w:p>
        </w:tc>
        <w:tc>
          <w:tcPr>
            <w:tcW w:type="dxa" w:w="900"/>
            <w:tcBorders>
              <w:top w:val="single" w:color="CCCCCC" w:sz="1"/>
              <w:left w:val="single" w:color="CCCCCC" w:sz="1"/>
              <w:bottom w:val="single" w:color="CCCCCC" w:sz="1"/>
              <w:right w:val="single" w:color="CCCCCC" w:sz="1"/>
            </w:tcBorders>
            <w:shd w:fill="FFF3CD" w:val="clear"/>
            <w:tcMar>
              <w:top w:type="dxa" w:w="80"/>
              <w:left w:type="dxa" w:w="80"/>
              <w:bottom w:type="dxa" w:w="80"/>
              <w:right w:type="dxa" w:w="80"/>
            </w:tcMar>
            <w:vAlign w:val="center"/>
          </w:tcPr>
          <w:p>
            <w:pPr>
              <w:jc w:val="center"/>
            </w:pPr>
            <w:r>
              <w:rPr>
                <w:rFonts w:ascii="Arial" w:cs="Arial" w:eastAsia="Arial" w:hAnsi="Arial"/>
                <w:b/>
                <w:bCs/>
                <w:color w:val="7B5E00"/>
                <w:sz w:val="16"/>
                <w:szCs w:val="16"/>
              </w:rPr>
              <w:t xml:space="preserve">WINDSURF</w:t>
            </w:r>
          </w:p>
        </w:tc>
        <w:tc>
          <w:tcPr>
            <w:tcW w:type="dxa" w:w="2660"/>
            <w:tcBorders>
              <w:top w:val="single" w:color="CCCCCC" w:sz="1"/>
              <w:left w:val="single" w:color="CCCCCC" w:sz="1"/>
              <w:bottom w:val="single" w:color="CCCCCC" w:sz="1"/>
              <w:right w:val="single" w:color="CCCCCC" w:sz="1"/>
            </w:tcBorders>
            <w:shd w:fill="E3F2FD" w:val="clear"/>
            <w:tcMar>
              <w:top w:type="dxa" w:w="80"/>
              <w:left w:type="dxa" w:w="110"/>
              <w:bottom w:type="dxa" w:w="80"/>
              <w:right w:type="dxa" w:w="110"/>
            </w:tcMar>
            <w:vAlign w:val="top"/>
          </w:tcPr>
          <w:p>
            <w:r>
              <w:rPr>
                <w:rFonts w:ascii="Arial" w:cs="Arial" w:eastAsia="Arial" w:hAnsi="Arial"/>
                <w:b w:val="false"/>
                <w:bCs w:val="false"/>
                <w:i/>
                <w:iCs/>
                <w:color w:val="0D47A1"/>
                <w:sz w:val="17"/>
                <w:szCs w:val="17"/>
              </w:rPr>
              <w:t xml:space="preserve">State as: 'Windsurf analysis identified approximately 57 tests across 6 test files covering unit, integration, and UI layers.' Prefix with 'approximately' throughout. If you want an exact count, open Android Studio and count test methods in each file — takes 5 minutes.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Testing and Validation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bCs/>
                <w:i w:val="false"/>
                <w:iCs w:val="false"/>
                <w:color w:val="1A2C4E"/>
                <w:sz w:val="18"/>
                <w:szCs w:val="18"/>
              </w:rPr>
              <w:t xml:space="preserve">Mobile-specific patterns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val="false"/>
                <w:bCs w:val="false"/>
                <w:i w:val="false"/>
                <w:iCs w:val="false"/>
                <w:color w:val="1A1A1A"/>
                <w:sz w:val="17"/>
                <w:szCs w:val="17"/>
              </w:rPr>
              <w:t xml:space="preserve">clearAndSetSemantics, contentDescription, isTraversalGroup on amount picker (accessibility). @Preview with @PreviewParameter(PartnerThemeProvider::class) for multi-theme testing. Custom SnackbarDuration.Indefinite + delay(SNACKBAR_DURATION_MS) + manual dismiss. BackHandler {} + navController.navigateUp() consistent across all screens.</w:t>
            </w:r>
          </w:p>
        </w:tc>
        <w:tc>
          <w:tcPr>
            <w:tcW w:type="dxa" w:w="900"/>
            <w:tcBorders>
              <w:top w:val="single" w:color="CCCCCC" w:sz="1"/>
              <w:left w:val="single" w:color="CCCCCC" w:sz="1"/>
              <w:bottom w:val="single" w:color="CCCCCC" w:sz="1"/>
              <w:right w:val="single" w:color="CCCCCC" w:sz="1"/>
            </w:tcBorders>
            <w:shd w:fill="FFF3CD" w:val="clear"/>
            <w:tcMar>
              <w:top w:type="dxa" w:w="80"/>
              <w:left w:type="dxa" w:w="80"/>
              <w:bottom w:type="dxa" w:w="80"/>
              <w:right w:type="dxa" w:w="80"/>
            </w:tcMar>
            <w:vAlign w:val="center"/>
          </w:tcPr>
          <w:p>
            <w:pPr>
              <w:jc w:val="center"/>
            </w:pPr>
            <w:r>
              <w:rPr>
                <w:rFonts w:ascii="Arial" w:cs="Arial" w:eastAsia="Arial" w:hAnsi="Arial"/>
                <w:b/>
                <w:bCs/>
                <w:color w:val="7B5E00"/>
                <w:sz w:val="16"/>
                <w:szCs w:val="16"/>
              </w:rPr>
              <w:t xml:space="preserve">WINDSURF</w:t>
            </w:r>
          </w:p>
        </w:tc>
        <w:tc>
          <w:tcPr>
            <w:tcW w:type="dxa" w:w="2660"/>
            <w:tcBorders>
              <w:top w:val="single" w:color="CCCCCC" w:sz="1"/>
              <w:left w:val="single" w:color="CCCCCC" w:sz="1"/>
              <w:bottom w:val="single" w:color="CCCCCC" w:sz="1"/>
              <w:right w:val="single" w:color="CCCCCC" w:sz="1"/>
            </w:tcBorders>
            <w:shd w:fill="E3F2FD" w:val="clear"/>
            <w:tcMar>
              <w:top w:type="dxa" w:w="80"/>
              <w:left w:type="dxa" w:w="110"/>
              <w:bottom w:type="dxa" w:w="80"/>
              <w:right w:type="dxa" w:w="110"/>
            </w:tcMar>
            <w:vAlign w:val="top"/>
          </w:tcPr>
          <w:p>
            <w:r>
              <w:rPr>
                <w:rFonts w:ascii="Arial" w:cs="Arial" w:eastAsia="Arial" w:hAnsi="Arial"/>
                <w:b w:val="false"/>
                <w:bCs w:val="false"/>
                <w:i/>
                <w:iCs/>
                <w:color w:val="0D47A1"/>
                <w:sz w:val="17"/>
                <w:szCs w:val="17"/>
              </w:rPr>
              <w:t xml:space="preserve">State as: 'Windsurf analysis identified mobile-specific patterns including...' These are verifiable from the code if challenged.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Programming and Scripting, Customer Outcomes (accessibility)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bCs/>
                <w:i w:val="false"/>
                <w:iCs w:val="false"/>
                <w:color w:val="1A2C4E"/>
                <w:sz w:val="18"/>
                <w:szCs w:val="18"/>
              </w:rPr>
              <w:t xml:space="preserve">IClipQuestionLayout eliminated ~200 lines of duplication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val="false"/>
                <w:bCs w:val="false"/>
                <w:i w:val="false"/>
                <w:iCs w:val="false"/>
                <w:color w:val="1A1A1A"/>
                <w:sz w:val="17"/>
                <w:szCs w:val="17"/>
              </w:rPr>
              <w:t xml:space="preserve">Windsurf estimated ~200 lines eliminated. The SonarQube warning cited 16-18% duplication (from journal). The PR 7826 diff would show exact lines removed.</w:t>
            </w:r>
          </w:p>
        </w:tc>
        <w:tc>
          <w:tcPr>
            <w:tcW w:type="dxa" w:w="900"/>
            <w:tcBorders>
              <w:top w:val="single" w:color="CCCCCC" w:sz="1"/>
              <w:left w:val="single" w:color="CCCCCC" w:sz="1"/>
              <w:bottom w:val="single" w:color="CCCCCC" w:sz="1"/>
              <w:right w:val="single" w:color="CCCCCC" w:sz="1"/>
            </w:tcBorders>
            <w:shd w:fill="E3F2FD" w:val="clear"/>
            <w:tcMar>
              <w:top w:type="dxa" w:w="80"/>
              <w:left w:type="dxa" w:w="80"/>
              <w:bottom w:type="dxa" w:w="80"/>
              <w:right w:type="dxa" w:w="80"/>
            </w:tcMar>
            <w:vAlign w:val="center"/>
          </w:tcPr>
          <w:p>
            <w:pPr>
              <w:jc w:val="center"/>
            </w:pPr>
            <w:r>
              <w:rPr>
                <w:rFonts w:ascii="Arial" w:cs="Arial" w:eastAsia="Arial" w:hAnsi="Arial"/>
                <w:b/>
                <w:bCs/>
                <w:color w:val="0D47A1"/>
                <w:sz w:val="16"/>
                <w:szCs w:val="16"/>
              </w:rPr>
              <w:t xml:space="preserve">BOTH</w:t>
            </w:r>
          </w:p>
        </w:tc>
        <w:tc>
          <w:tcPr>
            <w:tcW w:type="dxa" w:w="2660"/>
            <w:tcBorders>
              <w:top w:val="single" w:color="CCCCCC" w:sz="1"/>
              <w:left w:val="single" w:color="CCCCCC" w:sz="1"/>
              <w:bottom w:val="single" w:color="CCCCCC" w:sz="1"/>
              <w:right w:val="single" w:color="CCCCCC" w:sz="1"/>
            </w:tcBorders>
            <w:shd w:fill="E3F2FD" w:val="clear"/>
            <w:tcMar>
              <w:top w:type="dxa" w:w="80"/>
              <w:left w:type="dxa" w:w="110"/>
              <w:bottom w:type="dxa" w:w="80"/>
              <w:right w:type="dxa" w:w="110"/>
            </w:tcMar>
            <w:vAlign w:val="top"/>
          </w:tcPr>
          <w:p>
            <w:r>
              <w:rPr>
                <w:rFonts w:ascii="Arial" w:cs="Arial" w:eastAsia="Arial" w:hAnsi="Arial"/>
                <w:b w:val="false"/>
                <w:bCs w:val="false"/>
                <w:i/>
                <w:iCs/>
                <w:color w:val="0D47A1"/>
                <w:sz w:val="17"/>
                <w:szCs w:val="17"/>
              </w:rPr>
              <w:t xml:space="preserve">State as: 'The refactor resolved a SonarQube-flagged 16-18% code duplication (per journal entry 3 Mar 2026) and eliminated a significant volume of duplicated code across two product screens, per Windsurf codebase analysis.' Avoid stating '200 lines' as a hard fact unless you verify from the PR diff.</w:t>
            </w:r>
          </w:p>
        </w:tc>
        <w:tc>
          <w:tcPr>
            <w:tcW w:type="dxa" w:w="2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Technical Debt Identification, Technical Leadership</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bCs/>
                <w:i w:val="false"/>
                <w:iCs w:val="false"/>
                <w:color w:val="1A2C4E"/>
                <w:sz w:val="18"/>
                <w:szCs w:val="18"/>
              </w:rPr>
              <w:t xml:space="preserve">Offer fallback decision tree logic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val="false"/>
                <w:bCs w:val="false"/>
                <w:i w:val="false"/>
                <w:iCs w:val="false"/>
                <w:color w:val="1A1A1A"/>
                <w:sz w:val="17"/>
                <w:szCs w:val="17"/>
              </w:rPr>
              <w:t xml:space="preserve">IClipNavigationViewModel.getCliOffer() implements: try pClip -&gt; fallback to iClip -&gt; handle 404 vs error distinctly. 404 = show ineligible journey, 500 = error screen.</w:t>
            </w:r>
          </w:p>
        </w:tc>
        <w:tc>
          <w:tcPr>
            <w:tcW w:type="dxa" w:w="900"/>
            <w:tcBorders>
              <w:top w:val="single" w:color="CCCCCC" w:sz="1"/>
              <w:left w:val="single" w:color="CCCCCC" w:sz="1"/>
              <w:bottom w:val="single" w:color="CCCCCC" w:sz="1"/>
              <w:right w:val="single" w:color="CCCCCC" w:sz="1"/>
            </w:tcBorders>
            <w:shd w:fill="FFF3CD" w:val="clear"/>
            <w:tcMar>
              <w:top w:type="dxa" w:w="80"/>
              <w:left w:type="dxa" w:w="80"/>
              <w:bottom w:type="dxa" w:w="80"/>
              <w:right w:type="dxa" w:w="80"/>
            </w:tcMar>
            <w:vAlign w:val="center"/>
          </w:tcPr>
          <w:p>
            <w:pPr>
              <w:jc w:val="center"/>
            </w:pPr>
            <w:r>
              <w:rPr>
                <w:rFonts w:ascii="Arial" w:cs="Arial" w:eastAsia="Arial" w:hAnsi="Arial"/>
                <w:b/>
                <w:bCs/>
                <w:color w:val="7B5E00"/>
                <w:sz w:val="16"/>
                <w:szCs w:val="16"/>
              </w:rPr>
              <w:t xml:space="preserve">WINDSURF</w:t>
            </w:r>
          </w:p>
        </w:tc>
        <w:tc>
          <w:tcPr>
            <w:tcW w:type="dxa" w:w="2660"/>
            <w:tcBorders>
              <w:top w:val="single" w:color="CCCCCC" w:sz="1"/>
              <w:left w:val="single" w:color="CCCCCC" w:sz="1"/>
              <w:bottom w:val="single" w:color="CCCCCC" w:sz="1"/>
              <w:right w:val="single" w:color="CCCCCC" w:sz="1"/>
            </w:tcBorders>
            <w:shd w:fill="E3F2FD" w:val="clear"/>
            <w:tcMar>
              <w:top w:type="dxa" w:w="80"/>
              <w:left w:type="dxa" w:w="110"/>
              <w:bottom w:type="dxa" w:w="80"/>
              <w:right w:type="dxa" w:w="110"/>
            </w:tcMar>
            <w:vAlign w:val="top"/>
          </w:tcPr>
          <w:p>
            <w:r>
              <w:rPr>
                <w:rFonts w:ascii="Arial" w:cs="Arial" w:eastAsia="Arial" w:hAnsi="Arial"/>
                <w:b w:val="false"/>
                <w:bCs w:val="false"/>
                <w:i/>
                <w:iCs/>
                <w:color w:val="0D47A1"/>
                <w:sz w:val="17"/>
                <w:szCs w:val="17"/>
              </w:rPr>
              <w:t xml:space="preserve">State as: 'Per Windsurf analysis of IClipNavigationViewModel, the offer fallback logic implements...' This is verifiable from the code.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Analytical Thinking, Sound Judgement, Proactive Risk Identification</w:t>
            </w:r>
          </w:p>
        </w:tc>
      </w:tr>
    </w:tbl>
    <w:p>
      <w:pPr>
        <w:pBdr>
          <w:bottom w:val="single" w:color="CCCCCC" w:sz="4"/>
        </w:pBdr>
        <w:spacing w:before="180" w:after="180"/>
      </w:pPr>
    </w:p>
    <w:p>
      <w:pPr>
        <w:spacing w:before="320" w:after="120"/>
      </w:pPr>
      <w:r>
        <w:rPr>
          <w:rFonts w:ascii="Arial" w:cs="Arial" w:eastAsia="Arial" w:hAnsi="Arial"/>
          <w:b/>
          <w:bCs/>
          <w:color w:val="C8102E"/>
          <w:sz w:val="26"/>
          <w:szCs w:val="26"/>
        </w:rPr>
        <w:t xml:space="preserve">Section 5: Exact Language Guide for Slides</w:t>
      </w:r>
    </w:p>
    <w:p>
      <w:pPr>
        <w:spacing w:before="80" w:after="80"/>
      </w:pPr>
      <w:r>
        <w:rPr>
          <w:rFonts w:ascii="Arial" w:cs="Arial" w:eastAsia="Arial" w:hAnsi="Arial"/>
          <w:b w:val="false"/>
          <w:bCs w:val="false"/>
          <w:i/>
          <w:iCs/>
          <w:color w:val="1A1A1A"/>
          <w:sz w:val="20"/>
          <w:szCs w:val="20"/>
        </w:rPr>
        <w:t xml:space="preserve">Use this table when writing each competency slide. The middle column gives you the exact phrasing that is both accurate and unassailable. The right column explains why that framing protects you.</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w:tc>
          <w:tcPr>
            <w:tcW w:type="dxa" w:w="1600"/>
            <w:tcBorders>
              <w:top w:val="single" w:color="CCCCCC" w:sz="1"/>
              <w:left w:val="single" w:color="CCCCCC" w:sz="1"/>
              <w:bottom w:val="single" w:color="CCCCCC" w:sz="1"/>
              <w:right w:val="single" w:color="CCCCCC" w:sz="1"/>
            </w:tcBorders>
            <w:shd w:fill="C8102E" w:val="clear"/>
            <w:tcMar>
              <w:top w:type="dxa" w:w="90"/>
              <w:left w:type="dxa" w:w="120"/>
              <w:bottom w:type="dxa" w:w="90"/>
              <w:right w:type="dxa" w:w="120"/>
            </w:tcMar>
            <w:vAlign w:val="center"/>
          </w:tcPr>
          <w:p>
            <w:r>
              <w:rPr>
                <w:rFonts w:ascii="Arial" w:cs="Arial" w:eastAsia="Arial" w:hAnsi="Arial"/>
                <w:b/>
                <w:bCs/>
                <w:color w:val="FFFFFF"/>
                <w:sz w:val="19"/>
                <w:szCs w:val="19"/>
              </w:rPr>
              <w:t xml:space="preserve">Scenario</w:t>
            </w:r>
          </w:p>
        </w:tc>
        <w:tc>
          <w:tcPr>
            <w:tcW w:type="dxa" w:w="4200"/>
            <w:tcBorders>
              <w:top w:val="single" w:color="CCCCCC" w:sz="1"/>
              <w:left w:val="single" w:color="CCCCCC" w:sz="1"/>
              <w:bottom w:val="single" w:color="CCCCCC" w:sz="1"/>
              <w:right w:val="single" w:color="CCCCCC" w:sz="1"/>
            </w:tcBorders>
            <w:shd w:fill="C8102E" w:val="clear"/>
            <w:tcMar>
              <w:top w:type="dxa" w:w="90"/>
              <w:left w:type="dxa" w:w="120"/>
              <w:bottom w:type="dxa" w:w="90"/>
              <w:right w:type="dxa" w:w="120"/>
            </w:tcMar>
            <w:vAlign w:val="center"/>
          </w:tcPr>
          <w:p>
            <w:r>
              <w:rPr>
                <w:rFonts w:ascii="Arial" w:cs="Arial" w:eastAsia="Arial" w:hAnsi="Arial"/>
                <w:b/>
                <w:bCs/>
                <w:color w:val="FFFFFF"/>
                <w:sz w:val="19"/>
                <w:szCs w:val="19"/>
              </w:rPr>
              <w:t xml:space="preserve">Exact Language to Use in Slides</w:t>
            </w:r>
          </w:p>
        </w:tc>
        <w:tc>
          <w:tcPr>
            <w:tcW w:type="dxa" w:w="3560"/>
            <w:tcBorders>
              <w:top w:val="single" w:color="CCCCCC" w:sz="1"/>
              <w:left w:val="single" w:color="CCCCCC" w:sz="1"/>
              <w:bottom w:val="single" w:color="CCCCCC" w:sz="1"/>
              <w:right w:val="single" w:color="CCCCCC" w:sz="1"/>
            </w:tcBorders>
            <w:shd w:fill="C8102E" w:val="clear"/>
            <w:tcMar>
              <w:top w:type="dxa" w:w="90"/>
              <w:left w:type="dxa" w:w="120"/>
              <w:bottom w:type="dxa" w:w="90"/>
              <w:right w:type="dxa" w:w="120"/>
            </w:tcMar>
            <w:vAlign w:val="center"/>
          </w:tcPr>
          <w:p>
            <w:r>
              <w:rPr>
                <w:rFonts w:ascii="Arial" w:cs="Arial" w:eastAsia="Arial" w:hAnsi="Arial"/>
                <w:b/>
                <w:bCs/>
                <w:color w:val="FFFFFF"/>
                <w:sz w:val="19"/>
                <w:szCs w:val="19"/>
              </w:rPr>
              <w:t xml:space="preserve">Why This Protects You</w:t>
            </w:r>
          </w:p>
        </w:tc>
      </w:tr>
      <w:tr>
        <w:tc>
          <w:tcPr>
            <w:tcW w:type="dxa" w:w="1600"/>
            <w:tcBorders>
              <w:top w:val="single" w:color="CCCCCC" w:sz="1"/>
              <w:left w:val="single" w:color="CCCCCC" w:sz="1"/>
              <w:bottom w:val="single" w:color="CCCCCC" w:sz="1"/>
              <w:right w:val="single" w:color="CCCCCC" w:sz="1"/>
            </w:tcBorders>
            <w:shd w:fill="F2F4F6" w:val="clear"/>
            <w:tcMar>
              <w:top w:type="dxa" w:w="80"/>
              <w:left w:type="dxa" w:w="110"/>
              <w:bottom w:type="dxa" w:w="80"/>
              <w:right w:type="dxa" w:w="110"/>
            </w:tcMar>
            <w:vAlign w:val="top"/>
          </w:tcPr>
          <w:p>
            <w:r>
              <w:rPr>
                <w:rFonts w:ascii="Arial" w:cs="Arial" w:eastAsia="Arial" w:hAnsi="Arial"/>
                <w:b/>
                <w:bCs/>
                <w:i w:val="false"/>
                <w:iCs w:val="false"/>
                <w:color w:val="1A2C4E"/>
                <w:sz w:val="18"/>
                <w:szCs w:val="18"/>
              </w:rPr>
              <w:t xml:space="preserve">Presenting PR evidence (dates, PR numbers, ticket numbers)</w:t>
            </w:r>
          </w:p>
        </w:tc>
        <w:tc>
          <w:tcPr>
            <w:tcW w:type="dxa" w:w="4200"/>
            <w:tcBorders>
              <w:top w:val="single" w:color="CCCCCC" w:sz="1"/>
              <w:left w:val="single" w:color="CCCCCC" w:sz="1"/>
              <w:bottom w:val="single" w:color="CCCCCC" w:sz="1"/>
              <w:right w:val="single" w:color="CCCCCC" w:sz="1"/>
            </w:tcBorders>
            <w:shd w:fill="E8F5E9" w:val="clear"/>
            <w:tcMar>
              <w:top w:type="dxa" w:w="80"/>
              <w:left w:type="dxa" w:w="110"/>
              <w:bottom w:type="dxa" w:w="80"/>
              <w:right w:type="dxa" w:w="110"/>
            </w:tcMar>
            <w:vAlign w:val="top"/>
          </w:tcPr>
          <w:p>
            <w:r>
              <w:rPr>
                <w:rFonts w:ascii="Arial" w:cs="Arial" w:eastAsia="Arial" w:hAnsi="Arial"/>
                <w:b w:val="false"/>
                <w:bCs w:val="false"/>
                <w:i w:val="false"/>
                <w:iCs w:val="false"/>
                <w:color w:val="1A1A1A"/>
                <w:sz w:val="17"/>
                <w:szCs w:val="17"/>
              </w:rPr>
              <w:t xml:space="preserve">State directly as fact. Example: 'PR comobileapp/pull/7826 merged 4 March 2026 — resolved SonarQube code duplication across two product screens.'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val="false"/>
                <w:bCs w:val="false"/>
                <w:i/>
                <w:iCs/>
                <w:color w:val="444444"/>
                <w:sz w:val="17"/>
                <w:szCs w:val="17"/>
              </w:rPr>
              <w:t xml:space="preserve">These come from your own dev journal, a contemporaneous record you maintain. This is primary source evidence.</w:t>
            </w:r>
          </w:p>
        </w:tc>
      </w:tr>
      <w:tr>
        <w:tc>
          <w:tcPr>
            <w:tcW w:type="dxa" w:w="1600"/>
            <w:tcBorders>
              <w:top w:val="single" w:color="CCCCCC" w:sz="1"/>
              <w:left w:val="single" w:color="CCCCCC" w:sz="1"/>
              <w:bottom w:val="single" w:color="CCCCCC" w:sz="1"/>
              <w:right w:val="single" w:color="CCCCCC" w:sz="1"/>
            </w:tcBorders>
            <w:shd w:fill="F2F4F6" w:val="clear"/>
            <w:tcMar>
              <w:top w:type="dxa" w:w="80"/>
              <w:left w:type="dxa" w:w="110"/>
              <w:bottom w:type="dxa" w:w="80"/>
              <w:right w:type="dxa" w:w="110"/>
            </w:tcMar>
            <w:vAlign w:val="top"/>
          </w:tcPr>
          <w:p>
            <w:r>
              <w:rPr>
                <w:rFonts w:ascii="Arial" w:cs="Arial" w:eastAsia="Arial" w:hAnsi="Arial"/>
                <w:b/>
                <w:bCs/>
                <w:i w:val="false"/>
                <w:iCs w:val="false"/>
                <w:color w:val="1A2C4E"/>
                <w:sz w:val="18"/>
                <w:szCs w:val="18"/>
              </w:rPr>
              <w:t xml:space="preserve">Presenting code-level technical patterns (Kotlin, Compose, test counts)</w:t>
            </w:r>
          </w:p>
        </w:tc>
        <w:tc>
          <w:tcPr>
            <w:tcW w:type="dxa" w:w="4200"/>
            <w:tcBorders>
              <w:top w:val="single" w:color="CCCCCC" w:sz="1"/>
              <w:left w:val="single" w:color="CCCCCC" w:sz="1"/>
              <w:bottom w:val="single" w:color="CCCCCC" w:sz="1"/>
              <w:right w:val="single" w:color="CCCCCC" w:sz="1"/>
            </w:tcBorders>
            <w:shd w:fill="E8F5E9" w:val="clear"/>
            <w:tcMar>
              <w:top w:type="dxa" w:w="80"/>
              <w:left w:type="dxa" w:w="110"/>
              <w:bottom w:type="dxa" w:w="80"/>
              <w:right w:type="dxa" w:w="110"/>
            </w:tcMar>
            <w:vAlign w:val="top"/>
          </w:tcPr>
          <w:p>
            <w:r>
              <w:rPr>
                <w:rFonts w:ascii="Arial" w:cs="Arial" w:eastAsia="Arial" w:hAnsi="Arial"/>
                <w:b w:val="false"/>
                <w:bCs w:val="false"/>
                <w:i w:val="false"/>
                <w:iCs w:val="false"/>
                <w:color w:val="1A1A1A"/>
                <w:sz w:val="17"/>
                <w:szCs w:val="17"/>
              </w:rPr>
              <w:t xml:space="preserve">Prefix with 'per Windsurf codebase analysis' or 'analysis of my merged commits identified...' Example: 'Windsurf analysis of my merged PRs confirms use of Kotlin sealed classes, Hilt DI, and Coroutines with StateFlow.'</w:t>
            </w:r>
          </w:p>
        </w:tc>
        <w:tc>
          <w:tcPr>
            <w:tcW w:type="dxa" w:w="3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val="false"/>
                <w:bCs w:val="false"/>
                <w:i/>
                <w:iCs/>
                <w:color w:val="444444"/>
                <w:sz w:val="17"/>
                <w:szCs w:val="17"/>
              </w:rPr>
              <w:t xml:space="preserve">Windsurf is an AI analysis of your actual committed code on Capital One's GitHub. It is a credible secondary source but should be attributed. If anyone challenges a specific pattern, you can point to the PR. The attribution protects you from being questioned on a specific number.</w:t>
            </w:r>
          </w:p>
        </w:tc>
      </w:tr>
      <w:tr>
        <w:tc>
          <w:tcPr>
            <w:tcW w:type="dxa" w:w="1600"/>
            <w:tcBorders>
              <w:top w:val="single" w:color="CCCCCC" w:sz="1"/>
              <w:left w:val="single" w:color="CCCCCC" w:sz="1"/>
              <w:bottom w:val="single" w:color="CCCCCC" w:sz="1"/>
              <w:right w:val="single" w:color="CCCCCC" w:sz="1"/>
            </w:tcBorders>
            <w:shd w:fill="F2F4F6" w:val="clear"/>
            <w:tcMar>
              <w:top w:type="dxa" w:w="80"/>
              <w:left w:type="dxa" w:w="110"/>
              <w:bottom w:type="dxa" w:w="80"/>
              <w:right w:type="dxa" w:w="110"/>
            </w:tcMar>
            <w:vAlign w:val="top"/>
          </w:tcPr>
          <w:p>
            <w:r>
              <w:rPr>
                <w:rFonts w:ascii="Arial" w:cs="Arial" w:eastAsia="Arial" w:hAnsi="Arial"/>
                <w:b/>
                <w:bCs/>
                <w:i w:val="false"/>
                <w:iCs w:val="false"/>
                <w:color w:val="1A2C4E"/>
                <w:sz w:val="18"/>
                <w:szCs w:val="18"/>
              </w:rPr>
              <w:t xml:space="preserve">Presenting approximate totals (lines of code, file counts, test counts)</w:t>
            </w:r>
          </w:p>
        </w:tc>
        <w:tc>
          <w:tcPr>
            <w:tcW w:type="dxa" w:w="4200"/>
            <w:tcBorders>
              <w:top w:val="single" w:color="CCCCCC" w:sz="1"/>
              <w:left w:val="single" w:color="CCCCCC" w:sz="1"/>
              <w:bottom w:val="single" w:color="CCCCCC" w:sz="1"/>
              <w:right w:val="single" w:color="CCCCCC" w:sz="1"/>
            </w:tcBorders>
            <w:shd w:fill="E8F5E9" w:val="clear"/>
            <w:tcMar>
              <w:top w:type="dxa" w:w="80"/>
              <w:left w:type="dxa" w:w="110"/>
              <w:bottom w:type="dxa" w:w="80"/>
              <w:right w:type="dxa" w:w="110"/>
            </w:tcMar>
            <w:vAlign w:val="top"/>
          </w:tcPr>
          <w:p>
            <w:r>
              <w:rPr>
                <w:rFonts w:ascii="Arial" w:cs="Arial" w:eastAsia="Arial" w:hAnsi="Arial"/>
                <w:b w:val="false"/>
                <w:bCs w:val="false"/>
                <w:i w:val="false"/>
                <w:iCs w:val="false"/>
                <w:color w:val="1A1A1A"/>
                <w:sz w:val="17"/>
                <w:szCs w:val="17"/>
              </w:rPr>
              <w:t xml:space="preserve">Always use 'approximately' or 'over X'. Example: 'Approximately 57 tests across unit, integration, and UI layers, per Windsurf codebase analysis.' or 'Over 2,700 lines of production code added across 7 merged commits.'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val="false"/>
                <w:bCs w:val="false"/>
                <w:i/>
                <w:iCs/>
                <w:color w:val="444444"/>
                <w:sz w:val="17"/>
                <w:szCs w:val="17"/>
              </w:rPr>
              <w:t xml:space="preserve">Using approximate language is accurate and cannot be challenged. Stating a specific number as verified fact when the source is an AI analysis creates a vulnerability if someone checks and finds a small discrepancy.</w:t>
            </w:r>
          </w:p>
        </w:tc>
      </w:tr>
      <w:tr>
        <w:tc>
          <w:tcPr>
            <w:tcW w:type="dxa" w:w="1600"/>
            <w:tcBorders>
              <w:top w:val="single" w:color="CCCCCC" w:sz="1"/>
              <w:left w:val="single" w:color="CCCCCC" w:sz="1"/>
              <w:bottom w:val="single" w:color="CCCCCC" w:sz="1"/>
              <w:right w:val="single" w:color="CCCCCC" w:sz="1"/>
            </w:tcBorders>
            <w:shd w:fill="F2F4F6" w:val="clear"/>
            <w:tcMar>
              <w:top w:type="dxa" w:w="80"/>
              <w:left w:type="dxa" w:w="110"/>
              <w:bottom w:type="dxa" w:w="80"/>
              <w:right w:type="dxa" w:w="110"/>
            </w:tcMar>
            <w:vAlign w:val="top"/>
          </w:tcPr>
          <w:p>
            <w:r>
              <w:rPr>
                <w:rFonts w:ascii="Arial" w:cs="Arial" w:eastAsia="Arial" w:hAnsi="Arial"/>
                <w:b/>
                <w:bCs/>
                <w:i w:val="false"/>
                <w:iCs w:val="false"/>
                <w:color w:val="1A2C4E"/>
                <w:sz w:val="18"/>
                <w:szCs w:val="18"/>
              </w:rPr>
              <w:t xml:space="preserve">Presenting SRE, SLO, RVT, and Admin tasks</w:t>
            </w:r>
          </w:p>
        </w:tc>
        <w:tc>
          <w:tcPr>
            <w:tcW w:type="dxa" w:w="4200"/>
            <w:tcBorders>
              <w:top w:val="single" w:color="CCCCCC" w:sz="1"/>
              <w:left w:val="single" w:color="CCCCCC" w:sz="1"/>
              <w:bottom w:val="single" w:color="CCCCCC" w:sz="1"/>
              <w:right w:val="single" w:color="CCCCCC" w:sz="1"/>
            </w:tcBorders>
            <w:shd w:fill="E8F5E9" w:val="clear"/>
            <w:tcMar>
              <w:top w:type="dxa" w:w="80"/>
              <w:left w:type="dxa" w:w="110"/>
              <w:bottom w:type="dxa" w:w="80"/>
              <w:right w:type="dxa" w:w="110"/>
            </w:tcMar>
            <w:vAlign w:val="top"/>
          </w:tcPr>
          <w:p>
            <w:r>
              <w:rPr>
                <w:rFonts w:ascii="Arial" w:cs="Arial" w:eastAsia="Arial" w:hAnsi="Arial"/>
                <w:b w:val="false"/>
                <w:bCs w:val="false"/>
                <w:i w:val="false"/>
                <w:iCs w:val="false"/>
                <w:color w:val="1A1A1A"/>
                <w:sz w:val="17"/>
                <w:szCs w:val="17"/>
              </w:rPr>
              <w:t xml:space="preserve">State directly as fact with dates. Example: 'Click To Pay RVT fallback completed 4 February 2026, with evidence captured and approved by the Resiliency team.'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val="false"/>
                <w:bCs w:val="false"/>
                <w:i/>
                <w:iCs/>
                <w:color w:val="444444"/>
                <w:sz w:val="17"/>
                <w:szCs w:val="17"/>
              </w:rPr>
              <w:t xml:space="preserve">These come from your journal with specific dates and named approvers. They are verifiable against Capital One's internal records.</w:t>
            </w:r>
          </w:p>
        </w:tc>
      </w:tr>
      <w:tr>
        <w:tc>
          <w:tcPr>
            <w:tcW w:type="dxa" w:w="1600"/>
            <w:tcBorders>
              <w:top w:val="single" w:color="CCCCCC" w:sz="1"/>
              <w:left w:val="single" w:color="CCCCCC" w:sz="1"/>
              <w:bottom w:val="single" w:color="CCCCCC" w:sz="1"/>
              <w:right w:val="single" w:color="CCCCCC" w:sz="1"/>
            </w:tcBorders>
            <w:shd w:fill="F2F4F6" w:val="clear"/>
            <w:tcMar>
              <w:top w:type="dxa" w:w="80"/>
              <w:left w:type="dxa" w:w="110"/>
              <w:bottom w:type="dxa" w:w="80"/>
              <w:right w:type="dxa" w:w="110"/>
            </w:tcMar>
            <w:vAlign w:val="top"/>
          </w:tcPr>
          <w:p>
            <w:r>
              <w:rPr>
                <w:rFonts w:ascii="Arial" w:cs="Arial" w:eastAsia="Arial" w:hAnsi="Arial"/>
                <w:b/>
                <w:bCs/>
                <w:i w:val="false"/>
                <w:iCs w:val="false"/>
                <w:color w:val="1A2C4E"/>
                <w:sz w:val="18"/>
                <w:szCs w:val="18"/>
              </w:rPr>
              <w:t xml:space="preserve">Presenting cross-functional collaboration</w:t>
            </w:r>
          </w:p>
        </w:tc>
        <w:tc>
          <w:tcPr>
            <w:tcW w:type="dxa" w:w="4200"/>
            <w:tcBorders>
              <w:top w:val="single" w:color="CCCCCC" w:sz="1"/>
              <w:left w:val="single" w:color="CCCCCC" w:sz="1"/>
              <w:bottom w:val="single" w:color="CCCCCC" w:sz="1"/>
              <w:right w:val="single" w:color="CCCCCC" w:sz="1"/>
            </w:tcBorders>
            <w:shd w:fill="E8F5E9" w:val="clear"/>
            <w:tcMar>
              <w:top w:type="dxa" w:w="80"/>
              <w:left w:type="dxa" w:w="110"/>
              <w:bottom w:type="dxa" w:w="80"/>
              <w:right w:type="dxa" w:w="110"/>
            </w:tcMar>
            <w:vAlign w:val="top"/>
          </w:tcPr>
          <w:p>
            <w:r>
              <w:rPr>
                <w:rFonts w:ascii="Arial" w:cs="Arial" w:eastAsia="Arial" w:hAnsi="Arial"/>
                <w:b w:val="false"/>
                <w:bCs w:val="false"/>
                <w:i w:val="false"/>
                <w:iCs w:val="false"/>
                <w:color w:val="1A1A1A"/>
                <w:sz w:val="17"/>
                <w:szCs w:val="17"/>
              </w:rPr>
              <w:t xml:space="preserve">State with named individuals and dates. Example: 'Coordinated with Alex Smith on query review for Click To Pay Counslr SLO (January 2026). Execution Plan approved by Rhian.'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top"/>
          </w:tcPr>
          <w:p>
            <w:r>
              <w:rPr>
                <w:rFonts w:ascii="Arial" w:cs="Arial" w:eastAsia="Arial" w:hAnsi="Arial"/>
                <w:b w:val="false"/>
                <w:bCs w:val="false"/>
                <w:i/>
                <w:iCs/>
                <w:color w:val="444444"/>
                <w:sz w:val="17"/>
                <w:szCs w:val="17"/>
              </w:rPr>
              <w:t xml:space="preserve">Named individuals and dates from your journal are verifiable. Generic claims like 'I collaborated with the team' are not.</w:t>
            </w:r>
          </w:p>
        </w:tc>
      </w:tr>
    </w:tbl>
    <w:p>
      <w:pPr>
        <w:pBdr>
          <w:bottom w:val="single" w:color="CCCCCC" w:sz="4"/>
        </w:pBdr>
        <w:spacing w:before="180" w:after="180"/>
      </w:pPr>
    </w:p>
    <w:p>
      <w:pPr>
        <w:spacing w:before="320" w:after="120"/>
      </w:pPr>
      <w:r>
        <w:rPr>
          <w:rFonts w:ascii="Arial" w:cs="Arial" w:eastAsia="Arial" w:hAnsi="Arial"/>
          <w:b/>
          <w:bCs/>
          <w:color w:val="C8102E"/>
          <w:sz w:val="26"/>
          <w:szCs w:val="26"/>
        </w:rPr>
        <w:t xml:space="preserve">Section 6: Three Things to Verify Before Your First Kaj Check-in</w:t>
      </w:r>
    </w:p>
    <w:p>
      <w:pPr>
        <w:spacing w:before="80" w:after="80"/>
      </w:pPr>
      <w:r>
        <w:rPr>
          <w:rFonts w:ascii="Arial" w:cs="Arial" w:eastAsia="Arial" w:hAnsi="Arial"/>
          <w:b w:val="false"/>
          <w:bCs w:val="false"/>
          <w:i w:val="false"/>
          <w:iCs w:val="false"/>
          <w:color w:val="1A1A1A"/>
          <w:sz w:val="20"/>
          <w:szCs w:val="20"/>
        </w:rPr>
        <w:t xml:space="preserve">These are the three small checks worth doing before you share anything with Kaj, Rich, or Rob:</w:t>
      </w:r>
    </w:p>
    <w:p>
      <w:pPr>
        <w:spacing w:before="60" w:after="40"/>
      </w:pPr>
      <w:r>
        <w:rPr>
          <w:rFonts w:ascii="Arial" w:cs="Arial" w:eastAsia="Arial" w:hAnsi="Arial"/>
          <w:b w:val="false"/>
          <w:bCs w:val="false"/>
          <w:i w:val="false"/>
          <w:iCs w:val="false"/>
          <w:color w:val="1A1A1A"/>
          <w:sz w:val="20"/>
          <w:szCs w:val="20"/>
        </w:rPr>
        <w:t xml:space="preserve">1.  Open PR 7826 on Capital One GitHub and check the exact lines added/removed in the diff. This confirms or adjusts the duplication elimination figure. Takes two minutes.</w:t>
      </w:r>
    </w:p>
    <w:p>
      <w:pPr>
        <w:spacing w:before="40" w:after="40"/>
      </w:pPr>
      <w:r>
        <w:rPr>
          <w:rFonts w:ascii="Arial" w:cs="Arial" w:eastAsia="Arial" w:hAnsi="Arial"/>
          <w:b w:val="false"/>
          <w:bCs w:val="false"/>
          <w:i w:val="false"/>
          <w:iCs w:val="false"/>
          <w:color w:val="1A1A1A"/>
          <w:sz w:val="20"/>
          <w:szCs w:val="20"/>
        </w:rPr>
        <w:t xml:space="preserve">2.  Open Android Studio and count the @Test methods in the six test files Windsurf identified. This gives you an exact test count rather than an approximate one. Takes five minutes.</w:t>
      </w:r>
    </w:p>
    <w:p>
      <w:pPr>
        <w:spacing w:before="40" w:after="80"/>
      </w:pPr>
      <w:r>
        <w:rPr>
          <w:rFonts w:ascii="Arial" w:cs="Arial" w:eastAsia="Arial" w:hAnsi="Arial"/>
          <w:b w:val="false"/>
          <w:bCs w:val="false"/>
          <w:i w:val="false"/>
          <w:iCs w:val="false"/>
          <w:color w:val="1A1A1A"/>
          <w:sz w:val="20"/>
          <w:szCs w:val="20"/>
        </w:rPr>
        <w:t xml:space="preserve">3.  Confirm Kaj's annotation on the coaching plan was dated 5 March (not 6 March, the plan start date). The date matters because it shows she reviewed the plan before it officially began.</w:t>
      </w:r>
    </w:p>
    <w:p>
      <w:pPr>
        <w:spacing w:before="80" w:after="80"/>
      </w:pPr>
      <w:r>
        <w:rPr>
          <w:rFonts w:ascii="Arial" w:cs="Arial" w:eastAsia="Arial" w:hAnsi="Arial"/>
          <w:b w:val="false"/>
          <w:bCs w:val="false"/>
          <w:i/>
          <w:iCs/>
          <w:color w:val="1A1A1A"/>
          <w:sz w:val="20"/>
          <w:szCs w:val="20"/>
        </w:rPr>
        <w:t xml:space="preserve">If you do these three checks and the numbers are close to the Windsurf figures, you can use them directly. If they differ materially, update the relevant entries in this document before proceeding.</w:t>
      </w:r>
    </w:p>
    <w:sectPr>
      <w:pgSz w:w="15840" w:h="122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2026-03-09T22:16:11.153Z</dcterms:created>
  <dcterms:modified xsi:type="dcterms:W3CDTF">2026-03-09T22:16:11.155Z</dcterms:modified>
</cp:coreProperties>
</file>

<file path=docProps/custom.xml><?xml version="1.0" encoding="utf-8"?>
<Properties xmlns="http://schemas.openxmlformats.org/officeDocument/2006/custom-properties" xmlns:vt="http://schemas.openxmlformats.org/officeDocument/2006/docPropsVTypes"/>
</file>