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p>
      <w:pPr>
        <w:spacing w:before="0" w:after="40"/>
        <w:jc w:val="center"/>
      </w:pPr>
      <w:r>
        <w:rPr>
          <w:rFonts w:ascii="Calibri" w:cs="Calibri" w:eastAsia="Calibri" w:hAnsi="Calibri"/>
          <w:b/>
          <w:bCs/>
          <w:color w:val="E8601C"/>
          <w:sz w:val="20"/>
          <w:szCs w:val="20"/>
        </w:rPr>
        <w:t xml:space="preserve">PRODUCT PROPOSAL</w:t>
      </w:r>
    </w:p>
    <w:p>
      <w:pPr>
        <w:spacing w:before="0" w:after="60"/>
        <w:jc w:val="center"/>
      </w:pPr>
      <w:r>
        <w:rPr>
          <w:rFonts w:ascii="Calibri" w:cs="Calibri" w:eastAsia="Calibri" w:hAnsi="Calibri"/>
          <w:b/>
          <w:bCs/>
          <w:color w:val="1A3557"/>
          <w:sz w:val="52"/>
          <w:szCs w:val="52"/>
        </w:rPr>
        <w:t xml:space="preserve">Smart Return Load Platform</w:t>
      </w:r>
    </w:p>
    <w:p>
      <w:pPr>
        <w:spacing w:before="0" w:after="40"/>
        <w:jc w:val="center"/>
      </w:pPr>
      <w:r>
        <w:rPr>
          <w:rFonts w:ascii="Calibri" w:cs="Calibri" w:eastAsia="Calibri" w:hAnsi="Calibri"/>
          <w:i/>
          <w:iCs/>
          <w:color w:val="64748B"/>
          <w:sz w:val="28"/>
          <w:szCs w:val="28"/>
        </w:rPr>
        <w:t xml:space="preserve">Eliminating Empty Backhauls in Indian Road Logistics</w:t>
      </w:r>
    </w:p>
    <w:p>
      <w:pPr>
        <w:spacing w:before="0" w:after="120"/>
      </w:pPr>
      <w:r>
        <w:t xml:space="preserve"/>
      </w:r>
    </w:p>
    <w:p>
      <w:pPr>
        <w:pBdr>
          <w:top w:val="single" w:color="E8601C" w:sz="3"/>
          <w:bottom w:val="single" w:color="E8601C" w:sz="3"/>
        </w:pBdr>
        <w:spacing w:before="100" w:after="100"/>
        <w:jc w:val="center"/>
      </w:pPr>
      <w:r>
        <w:rPr>
          <w:rFonts w:ascii="Calibri" w:cs="Calibri" w:eastAsia="Calibri" w:hAnsi="Calibri"/>
          <w:color w:val="64748B"/>
          <w:sz w:val="20"/>
          <w:szCs w:val="20"/>
        </w:rPr>
        <w:t xml:space="preserve">National Permit Trucks  ·  Route-Based Matching  ·  Real-Time GPS  ·  Digital Marketplace</w:t>
      </w:r>
    </w:p>
    <w:p>
      <w:pPr>
        <w:spacing w:before="0" w:after="600"/>
      </w:pPr>
      <w:r>
        <w:t xml:space="preserve"/>
      </w:r>
    </w:p>
    <w:p>
      <w:r>
        <w:br w:type="page"/>
      </w:r>
    </w:p>
    <w:p>
      <w:pPr>
        <w:pStyle w:val="Heading1"/>
        <w:pBdr>
          <w:bottom w:val="single" w:color="E8601C" w:sz="8" w:space="4"/>
        </w:pBdr>
        <w:spacing w:before="360" w:after="160"/>
      </w:pPr>
      <w:r>
        <w:rPr>
          <w:rFonts w:ascii="Calibri" w:cs="Calibri" w:eastAsia="Calibri" w:hAnsi="Calibri"/>
          <w:b/>
          <w:bCs/>
          <w:color w:val="1A3557"/>
          <w:sz w:val="32"/>
          <w:szCs w:val="32"/>
        </w:rPr>
        <w:t xml:space="preserve">Executive Summary</w:t>
      </w:r>
    </w:p>
    <w:p>
      <w:pPr>
        <w:spacing w:before="80" w:after="100"/>
      </w:pPr>
      <w:r>
        <w:rPr>
          <w:rFonts w:ascii="Calibri" w:cs="Calibri" w:eastAsia="Calibri" w:hAnsi="Calibri"/>
          <w:color w:val="1E293B"/>
          <w:sz w:val="22"/>
          <w:szCs w:val="22"/>
        </w:rPr>
        <w:t xml:space="preserve">India's road logistics sector hauls over 65% of domestic freight, yet a persistent structural flaw drains its efficiency: empty return trips. After delivering goods, trucks frequently return to their origin without cargo — burning fuel, paying tolls, and generating zero revenue. This phenomenon, known in logistics as the empty backhaul problem, costs the Indian trucking industry an estimated ₹30,000–40,000 crore annually in wasted operational costs.</w:t>
      </w:r>
    </w:p>
    <w:p>
      <w:pPr>
        <w:spacing w:before="0" w:after="80"/>
      </w:pPr>
      <w:r>
        <w:t xml:space="preserve"/>
      </w:r>
    </w:p>
    <w:p>
      <w:pPr>
        <w:spacing w:before="80" w:after="100"/>
      </w:pPr>
      <w:r>
        <w:rPr>
          <w:rFonts w:ascii="Calibri" w:cs="Calibri" w:eastAsia="Calibri" w:hAnsi="Calibri"/>
          <w:color w:val="1E293B"/>
          <w:sz w:val="22"/>
          <w:szCs w:val="22"/>
        </w:rPr>
        <w:t xml:space="preserve">The Smart Return Load Platform is a web-based digital marketplace that directly addresses this inefficiency. By connecting truck drivers who have completed a delivery with businesses that need goods transported along nearby routes, the platform transforms dead return miles into revenue-generating trips — creating measurable value for truck operators, shippers, and the broader supply chain.</w:t>
      </w:r>
    </w:p>
    <w:p>
      <w:pPr>
        <w:spacing w:before="0" w:after="80"/>
      </w:pPr>
      <w:r>
        <w:t xml:space="preserve"/>
      </w:r>
    </w:p>
    <w:p>
      <w:pPr>
        <w:spacing w:before="80" w:after="100"/>
      </w:pPr>
      <w:r>
        <w:rPr>
          <w:rFonts w:ascii="Calibri" w:cs="Calibri" w:eastAsia="Calibri" w:hAnsi="Calibri"/>
          <w:color w:val="1E293B"/>
          <w:sz w:val="22"/>
          <w:szCs w:val="22"/>
        </w:rPr>
        <w:t xml:space="preserve">The platform operates on a familiar, proven model: a two-sided marketplace similar to ride-sharing, where supply (available trucks with capacity) is matched to demand (shipments needing transport) based on location, route alignment, cargo specifications, and timing.</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BD5E1" w:sz="1"/>
              <w:left w:val="single" w:color="CBD5E1" w:sz="1"/>
              <w:bottom w:val="single" w:color="CBD5E1" w:sz="1"/>
              <w:right w:val="single" w:color="CBD5E1" w:sz="1"/>
            </w:tcBorders>
            <w:shd w:fill="EEF3F9" w:val="clear"/>
            <w:tcMar>
              <w:top w:type="dxa" w:w="100"/>
              <w:left w:type="dxa" w:w="130"/>
              <w:bottom w:type="dxa" w:w="100"/>
              <w:right w:type="dxa" w:w="130"/>
            </w:tcMar>
          </w:tcPr>
          <w:p>
            <w:pPr>
              <w:spacing w:after="40"/>
            </w:pPr>
            <w:r>
              <w:rPr>
                <w:rFonts w:ascii="Calibri" w:cs="Calibri" w:eastAsia="Calibri" w:hAnsi="Calibri"/>
                <w:b/>
                <w:bCs/>
                <w:color w:val="E8601C"/>
                <w:sz w:val="19"/>
                <w:szCs w:val="19"/>
              </w:rPr>
              <w:t xml:space="preserve">Target Market</w:t>
            </w:r>
          </w:p>
          <w:p>
            <w:r>
              <w:rPr>
                <w:rFonts w:ascii="Calibri" w:cs="Calibri" w:eastAsia="Calibri" w:hAnsi="Calibri"/>
                <w:color w:val="1E293B"/>
                <w:sz w:val="19"/>
                <w:szCs w:val="19"/>
              </w:rPr>
              <w:t xml:space="preserve">National permit trucks, interstate logistics</w:t>
            </w:r>
          </w:p>
        </w:tc>
        <w:tc>
          <w:tcPr>
            <w:tcBorders>
              <w:top w:val="single" w:color="CBD5E1" w:sz="1"/>
              <w:left w:val="single" w:color="CBD5E1" w:sz="1"/>
              <w:bottom w:val="single" w:color="CBD5E1" w:sz="1"/>
              <w:right w:val="single" w:color="CBD5E1" w:sz="1"/>
            </w:tcBorders>
            <w:shd w:fill="EEF3F9" w:val="clear"/>
            <w:tcMar>
              <w:top w:type="dxa" w:w="100"/>
              <w:left w:type="dxa" w:w="130"/>
              <w:bottom w:type="dxa" w:w="100"/>
              <w:right w:type="dxa" w:w="130"/>
            </w:tcMar>
          </w:tcPr>
          <w:p>
            <w:pPr>
              <w:spacing w:after="40"/>
            </w:pPr>
            <w:r>
              <w:rPr>
                <w:rFonts w:ascii="Calibri" w:cs="Calibri" w:eastAsia="Calibri" w:hAnsi="Calibri"/>
                <w:b/>
                <w:bCs/>
                <w:color w:val="E8601C"/>
                <w:sz w:val="19"/>
                <w:szCs w:val="19"/>
              </w:rPr>
              <w:t xml:space="preserve">Core Problem</w:t>
            </w:r>
          </w:p>
          <w:p>
            <w:r>
              <w:rPr>
                <w:rFonts w:ascii="Calibri" w:cs="Calibri" w:eastAsia="Calibri" w:hAnsi="Calibri"/>
                <w:color w:val="1E293B"/>
                <w:sz w:val="19"/>
                <w:szCs w:val="19"/>
              </w:rPr>
              <w:t xml:space="preserve">Empty backhaul trips costing the industry billions</w:t>
            </w:r>
          </w:p>
        </w:tc>
        <w:tc>
          <w:tcPr>
            <w:tcBorders>
              <w:top w:val="single" w:color="CBD5E1" w:sz="1"/>
              <w:left w:val="single" w:color="CBD5E1" w:sz="1"/>
              <w:bottom w:val="single" w:color="CBD5E1" w:sz="1"/>
              <w:right w:val="single" w:color="CBD5E1" w:sz="1"/>
            </w:tcBorders>
            <w:shd w:fill="EEF3F9" w:val="clear"/>
            <w:tcMar>
              <w:top w:type="dxa" w:w="100"/>
              <w:left w:type="dxa" w:w="130"/>
              <w:bottom w:type="dxa" w:w="100"/>
              <w:right w:type="dxa" w:w="130"/>
            </w:tcMar>
          </w:tcPr>
          <w:p>
            <w:pPr>
              <w:spacing w:after="40"/>
            </w:pPr>
            <w:r>
              <w:rPr>
                <w:rFonts w:ascii="Calibri" w:cs="Calibri" w:eastAsia="Calibri" w:hAnsi="Calibri"/>
                <w:b/>
                <w:bCs/>
                <w:color w:val="E8601C"/>
                <w:sz w:val="19"/>
                <w:szCs w:val="19"/>
              </w:rPr>
              <w:t xml:space="preserve">Solution Type</w:t>
            </w:r>
          </w:p>
          <w:p>
            <w:r>
              <w:rPr>
                <w:rFonts w:ascii="Calibri" w:cs="Calibri" w:eastAsia="Calibri" w:hAnsi="Calibri"/>
                <w:color w:val="1E293B"/>
                <w:sz w:val="19"/>
                <w:szCs w:val="19"/>
              </w:rPr>
              <w:t xml:space="preserve">Two-sided digital freight marketplace</w:t>
            </w:r>
          </w:p>
        </w:tc>
        <w:tc>
          <w:tcPr>
            <w:tcBorders>
              <w:top w:val="single" w:color="CBD5E1" w:sz="1"/>
              <w:left w:val="single" w:color="CBD5E1" w:sz="1"/>
              <w:bottom w:val="single" w:color="CBD5E1" w:sz="1"/>
              <w:right w:val="single" w:color="CBD5E1" w:sz="1"/>
            </w:tcBorders>
            <w:shd w:fill="EEF3F9" w:val="clear"/>
            <w:tcMar>
              <w:top w:type="dxa" w:w="100"/>
              <w:left w:type="dxa" w:w="130"/>
              <w:bottom w:type="dxa" w:w="100"/>
              <w:right w:type="dxa" w:w="130"/>
            </w:tcMar>
          </w:tcPr>
          <w:p>
            <w:pPr>
              <w:spacing w:after="40"/>
            </w:pPr>
            <w:r>
              <w:rPr>
                <w:rFonts w:ascii="Calibri" w:cs="Calibri" w:eastAsia="Calibri" w:hAnsi="Calibri"/>
                <w:b/>
                <w:bCs/>
                <w:color w:val="E8601C"/>
                <w:sz w:val="19"/>
                <w:szCs w:val="19"/>
              </w:rPr>
              <w:t xml:space="preserve">Revenue Model</w:t>
            </w:r>
          </w:p>
          <w:p>
            <w:r>
              <w:rPr>
                <w:rFonts w:ascii="Calibri" w:cs="Calibri" w:eastAsia="Calibri" w:hAnsi="Calibri"/>
                <w:color w:val="1E293B"/>
                <w:sz w:val="19"/>
                <w:szCs w:val="19"/>
              </w:rPr>
              <w:t xml:space="preserve">Commission + SaaS subscriptions + premium listings</w:t>
            </w:r>
          </w:p>
        </w:tc>
      </w:tr>
    </w:tbl>
    <w:p>
      <w:pPr>
        <w:spacing w:before="0" w:after="120"/>
      </w:pPr>
      <w:r>
        <w:t xml:space="preserve"/>
      </w:r>
    </w:p>
    <w:p>
      <w:pPr>
        <w:pStyle w:val="Heading1"/>
        <w:pBdr>
          <w:bottom w:val="single" w:color="E8601C" w:sz="8" w:space="4"/>
        </w:pBdr>
        <w:spacing w:before="360" w:after="160"/>
      </w:pPr>
      <w:r>
        <w:rPr>
          <w:rFonts w:ascii="Calibri" w:cs="Calibri" w:eastAsia="Calibri" w:hAnsi="Calibri"/>
          <w:b/>
          <w:bCs/>
          <w:color w:val="1A3557"/>
          <w:sz w:val="32"/>
          <w:szCs w:val="32"/>
        </w:rPr>
        <w:t xml:space="preserve">1. Problem Statement</w:t>
      </w:r>
    </w:p>
    <w:p>
      <w:pPr>
        <w:pStyle w:val="Heading2"/>
        <w:spacing w:before="280" w:after="100"/>
      </w:pPr>
      <w:r>
        <w:rPr>
          <w:rFonts w:ascii="Calibri" w:cs="Calibri" w:eastAsia="Calibri" w:hAnsi="Calibri"/>
          <w:b/>
          <w:bCs/>
          <w:color w:val="1A3557"/>
          <w:sz w:val="26"/>
          <w:szCs w:val="26"/>
        </w:rPr>
        <w:t xml:space="preserve">1.1  The Empty Backhaul Challenge</w:t>
      </w:r>
    </w:p>
    <w:p>
      <w:pPr>
        <w:spacing w:before="80" w:after="100"/>
      </w:pPr>
      <w:r>
        <w:rPr>
          <w:rFonts w:ascii="Calibri" w:cs="Calibri" w:eastAsia="Calibri" w:hAnsi="Calibri"/>
          <w:color w:val="1E293B"/>
          <w:sz w:val="22"/>
          <w:szCs w:val="22"/>
        </w:rPr>
        <w:t xml:space="preserve">Long-haul trucking in India is deeply inefficient on return legs. A truck transporting textiles from Tirupur to Delhi completes its outbound journey successfully — but without a digital network to find available return cargo, the driver has no reliable way to secure a load for the return trip. The truck runs empty from Delhi back to Tirupur: 2,000+ km of pure cost.</w:t>
      </w:r>
    </w:p>
    <w:p>
      <w:pPr>
        <w:spacing w:before="0" w:after="80"/>
      </w:pPr>
      <w:r>
        <w:t xml:space="preserve"/>
      </w:r>
    </w:p>
    <w:p>
      <w:pPr>
        <w:spacing w:before="80" w:after="100"/>
      </w:pPr>
      <w:r>
        <w:rPr>
          <w:rFonts w:ascii="Calibri" w:cs="Calibri" w:eastAsia="Calibri" w:hAnsi="Calibri"/>
          <w:color w:val="1E293B"/>
          <w:sz w:val="22"/>
          <w:szCs w:val="22"/>
        </w:rPr>
        <w:t xml:space="preserve">This is not an edge case. Industry estimates suggest that 25–40% of all truck-kilometres in India are driven empty, with interstate trips especially prone to the problem due to limited local networks at unfamiliar destinations.</w:t>
      </w:r>
    </w:p>
    <w:p>
      <w:pPr>
        <w:spacing w:before="0" w:after="100"/>
      </w:pPr>
      <w:r>
        <w:t xml:space="preserve"/>
      </w:r>
    </w:p>
    <w:p>
      <w:pPr>
        <w:pStyle w:val="Heading2"/>
        <w:spacing w:before="280" w:after="100"/>
      </w:pPr>
      <w:r>
        <w:rPr>
          <w:rFonts w:ascii="Calibri" w:cs="Calibri" w:eastAsia="Calibri" w:hAnsi="Calibri"/>
          <w:b/>
          <w:bCs/>
          <w:color w:val="1A3557"/>
          <w:sz w:val="26"/>
          <w:szCs w:val="26"/>
        </w:rPr>
        <w:t xml:space="preserve">1.2  Financial Impact Breakdown</w:t>
      </w:r>
    </w:p>
    <w:p>
      <w:pPr>
        <w:spacing w:before="80" w:after="100"/>
      </w:pPr>
      <w:r>
        <w:rPr>
          <w:rFonts w:ascii="Calibri" w:cs="Calibri" w:eastAsia="Calibri" w:hAnsi="Calibri"/>
          <w:color w:val="1E293B"/>
          <w:sz w:val="22"/>
          <w:szCs w:val="22"/>
        </w:rPr>
        <w:t xml:space="preserve">For a single round trip of 2,000 km each way, a driver running empty on the return leg incurs: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Calibri" w:cs="Calibri" w:eastAsia="Calibri" w:hAnsi="Calibri"/>
                <w:b/>
                <w:bCs/>
                <w:color w:val="FFFFFF"/>
                <w:sz w:val="21"/>
                <w:szCs w:val="21"/>
              </w:rPr>
              <w:t xml:space="preserve">Cost Component</w:t>
            </w:r>
          </w:p>
        </w:tc>
        <w:tc>
          <w:tcPr>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Calibri" w:cs="Calibri" w:eastAsia="Calibri" w:hAnsi="Calibri"/>
                <w:b/>
                <w:bCs/>
                <w:color w:val="FFFFFF"/>
                <w:sz w:val="21"/>
                <w:szCs w:val="21"/>
              </w:rPr>
              <w:t xml:space="preserve">Estimated Loss (per empty return leg)</w:t>
            </w:r>
          </w:p>
        </w:tc>
      </w:tr>
      <w:tr>
        <w:tc>
          <w:tcPr>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color w:val="1E293B"/>
                <w:sz w:val="20"/>
                <w:szCs w:val="20"/>
              </w:rPr>
              <w:t xml:space="preserve">Diesel fuel</w:t>
            </w:r>
          </w:p>
        </w:tc>
        <w:tc>
          <w:tcPr>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color w:val="1E293B"/>
                <w:sz w:val="20"/>
                <w:szCs w:val="20"/>
              </w:rPr>
              <w:t xml:space="preserve">₹12,000 – ₹16,000</w:t>
            </w:r>
          </w:p>
        </w:tc>
      </w:tr>
      <w:tr>
        <w:tc>
          <w:tcPr>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color w:val="1E293B"/>
                <w:sz w:val="20"/>
                <w:szCs w:val="20"/>
              </w:rPr>
              <w:t xml:space="preserve">Driver wages (non-productive)</w:t>
            </w:r>
          </w:p>
        </w:tc>
        <w:tc>
          <w:tcPr>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color w:val="1E293B"/>
                <w:sz w:val="20"/>
                <w:szCs w:val="20"/>
              </w:rPr>
              <w:t xml:space="preserve">₹2,500 – ₹4,000</w:t>
            </w:r>
          </w:p>
        </w:tc>
      </w:tr>
      <w:tr>
        <w:tc>
          <w:tcPr>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color w:val="1E293B"/>
                <w:sz w:val="20"/>
                <w:szCs w:val="20"/>
              </w:rPr>
              <w:t xml:space="preserve">National Highway tolls</w:t>
            </w:r>
          </w:p>
        </w:tc>
        <w:tc>
          <w:tcPr>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color w:val="1E293B"/>
                <w:sz w:val="20"/>
                <w:szCs w:val="20"/>
              </w:rPr>
              <w:t xml:space="preserve">₹3,000 – ₹6,000</w:t>
            </w:r>
          </w:p>
        </w:tc>
      </w:tr>
      <w:tr>
        <w:tc>
          <w:tcPr>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color w:val="1E293B"/>
                <w:sz w:val="20"/>
                <w:szCs w:val="20"/>
              </w:rPr>
              <w:t xml:space="preserve">Tyre and mechanical wear</w:t>
            </w:r>
          </w:p>
        </w:tc>
        <w:tc>
          <w:tcPr>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color w:val="1E293B"/>
                <w:sz w:val="20"/>
                <w:szCs w:val="20"/>
              </w:rPr>
              <w:t xml:space="preserve">₹1,500 – ₹2,500</w:t>
            </w:r>
          </w:p>
        </w:tc>
      </w:tr>
      <w:tr>
        <w:tc>
          <w:tcPr>
            <w:tcBorders>
              <w:top w:val="single" w:color="CBD5E1" w:sz="1"/>
              <w:left w:val="single" w:color="CBD5E1" w:sz="1"/>
              <w:bottom w:val="single" w:color="CBD5E1" w:sz="1"/>
              <w:right w:val="single" w:color="CBD5E1" w:sz="1"/>
            </w:tcBorders>
            <w:shd w:fill="EEF3F9" w:val="clear"/>
            <w:tcMar>
              <w:top w:type="dxa" w:w="80"/>
              <w:left w:type="dxa" w:w="160"/>
              <w:bottom w:type="dxa" w:w="80"/>
              <w:right w:type="dxa" w:w="160"/>
            </w:tcMar>
          </w:tcPr>
          <w:p>
            <w:r>
              <w:rPr>
                <w:rFonts w:ascii="Calibri" w:cs="Calibri" w:eastAsia="Calibri" w:hAnsi="Calibri"/>
                <w:b/>
                <w:bCs/>
                <w:color w:val="1A3557"/>
                <w:sz w:val="20"/>
                <w:szCs w:val="20"/>
              </w:rPr>
              <w:t xml:space="preserve">Total per empty return trip</w:t>
            </w:r>
          </w:p>
        </w:tc>
        <w:tc>
          <w:tcPr>
            <w:tcBorders>
              <w:top w:val="single" w:color="CBD5E1" w:sz="1"/>
              <w:left w:val="single" w:color="CBD5E1" w:sz="1"/>
              <w:bottom w:val="single" w:color="CBD5E1" w:sz="1"/>
              <w:right w:val="single" w:color="CBD5E1" w:sz="1"/>
            </w:tcBorders>
            <w:shd w:fill="EEF3F9" w:val="clear"/>
            <w:tcMar>
              <w:top w:type="dxa" w:w="80"/>
              <w:left w:type="dxa" w:w="160"/>
              <w:bottom w:type="dxa" w:w="80"/>
              <w:right w:type="dxa" w:w="160"/>
            </w:tcMar>
          </w:tcPr>
          <w:p>
            <w:r>
              <w:rPr>
                <w:rFonts w:ascii="Calibri" w:cs="Calibri" w:eastAsia="Calibri" w:hAnsi="Calibri"/>
                <w:b/>
                <w:bCs/>
                <w:color w:val="E8601C"/>
                <w:sz w:val="20"/>
                <w:szCs w:val="20"/>
              </w:rPr>
              <w:t xml:space="preserve">₹19,000 – ₹28,500</w:t>
            </w:r>
          </w:p>
        </w:tc>
      </w:tr>
    </w:tbl>
    <w:p>
      <w:pPr>
        <w:spacing w:before="0" w:after="100"/>
      </w:pPr>
      <w:r>
        <w:t xml:space="preserve"/>
      </w:r>
    </w:p>
    <w:p>
      <w:pPr>
        <w:pStyle w:val="Heading2"/>
        <w:spacing w:before="280" w:after="100"/>
      </w:pPr>
      <w:r>
        <w:rPr>
          <w:rFonts w:ascii="Calibri" w:cs="Calibri" w:eastAsia="Calibri" w:hAnsi="Calibri"/>
          <w:b/>
          <w:bCs/>
          <w:color w:val="1A3557"/>
          <w:sz w:val="26"/>
          <w:szCs w:val="26"/>
        </w:rPr>
        <w:t xml:space="preserve">1.3  Why Existing Solutions Fall Short</w:t>
      </w:r>
    </w:p>
    <w:p>
      <w:pPr>
        <w:spacing w:before="80" w:after="100"/>
      </w:pPr>
      <w:r>
        <w:rPr>
          <w:rFonts w:ascii="Calibri" w:cs="Calibri" w:eastAsia="Calibri" w:hAnsi="Calibri"/>
          <w:color w:val="1E293B"/>
          <w:sz w:val="22"/>
          <w:szCs w:val="22"/>
        </w:rPr>
        <w:t xml:space="preserve">Truck drivers currently rely on informal broker networks, word-of-mouth at dhabas and truck stops, and phone calls to known contacts. These methods are slow, geographically limited, and subject to high broker commissions (often 8–12%). Large logistics platforms exist, but they primarily serve fleet operators with established relationships — not the owner-operator segment that represents the majority of India's 10+ million truck operators.</w:t>
      </w:r>
    </w:p>
    <w:p>
      <w:pPr>
        <w:spacing w:before="0" w:after="80"/>
      </w:pPr>
      <w:r>
        <w:t xml:space="preserve"/>
      </w:r>
    </w:p>
    <w:p>
      <w:pPr>
        <w:spacing w:before="80" w:after="100"/>
      </w:pPr>
      <w:r>
        <w:rPr>
          <w:rFonts w:ascii="Calibri" w:cs="Calibri" w:eastAsia="Calibri" w:hAnsi="Calibri"/>
          <w:color w:val="1E293B"/>
          <w:sz w:val="22"/>
          <w:szCs w:val="22"/>
        </w:rPr>
        <w:t xml:space="preserve">There is a clear gap in the market for a platform built specifically for the return-load use case: lightweight, mobile-friendly, route-aware, and accessible to individual truck operators.</w:t>
      </w:r>
    </w:p>
    <w:p>
      <w:pPr>
        <w:pStyle w:val="Heading1"/>
        <w:pBdr>
          <w:bottom w:val="single" w:color="E8601C" w:sz="8" w:space="4"/>
        </w:pBdr>
        <w:spacing w:before="360" w:after="160"/>
      </w:pPr>
      <w:r>
        <w:rPr>
          <w:rFonts w:ascii="Calibri" w:cs="Calibri" w:eastAsia="Calibri" w:hAnsi="Calibri"/>
          <w:b/>
          <w:bCs/>
          <w:color w:val="1A3557"/>
          <w:sz w:val="32"/>
          <w:szCs w:val="32"/>
        </w:rPr>
        <w:t xml:space="preserve">2. Proposed Solution</w:t>
      </w:r>
    </w:p>
    <w:p>
      <w:pPr>
        <w:pStyle w:val="Heading2"/>
        <w:spacing w:before="280" w:after="100"/>
      </w:pPr>
      <w:r>
        <w:rPr>
          <w:rFonts w:ascii="Calibri" w:cs="Calibri" w:eastAsia="Calibri" w:hAnsi="Calibri"/>
          <w:b/>
          <w:bCs/>
          <w:color w:val="1A3557"/>
          <w:sz w:val="26"/>
          <w:szCs w:val="26"/>
        </w:rPr>
        <w:t xml:space="preserve">2.1  Platform Concept</w:t>
      </w:r>
    </w:p>
    <w:p>
      <w:pPr>
        <w:spacing w:before="80" w:after="100"/>
      </w:pPr>
      <w:r>
        <w:rPr>
          <w:rFonts w:ascii="Calibri" w:cs="Calibri" w:eastAsia="Calibri" w:hAnsi="Calibri"/>
          <w:color w:val="1E293B"/>
          <w:sz w:val="22"/>
          <w:szCs w:val="22"/>
        </w:rPr>
        <w:t xml:space="preserve">The Smart Return Load Platform is a two-sided digital marketplace operating on the web (and eventually mobile). It serves two distinct user types whose needs are complementary: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  Truck Operators</w:t>
            </w:r>
          </w:p>
        </w:tc>
        <w:tc>
          <w:tcPr>
            <w:tcBorders>
              <w:top w:val="single" w:color="CBD5E1" w:sz="1"/>
              <w:left w:val="single" w:color="CBD5E1" w:sz="1"/>
              <w:bottom w:val="single" w:color="CBD5E1" w:sz="1"/>
              <w:right w:val="single" w:color="CBD5E1" w:sz="1"/>
            </w:tcBorders>
            <w:shd w:fill="E8601C"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  Load Providers</w:t>
            </w:r>
          </w:p>
        </w:tc>
      </w:tr>
      <w:tr>
        <w:tc>
          <w:tcPr>
            <w:tcBorders>
              <w:top w:val="single" w:color="CBD5E1" w:sz="1"/>
              <w:left w:val="single" w:color="CBD5E1" w:sz="1"/>
              <w:bottom w:val="single" w:color="CBD5E1" w:sz="1"/>
              <w:right w:val="single" w:color="CBD5E1" w:sz="1"/>
            </w:tcBorders>
            <w:shd w:fill="EEF3F9" w:val="clear"/>
            <w:tcMar>
              <w:top w:type="dxa" w:w="100"/>
              <w:left w:type="dxa" w:w="160"/>
              <w:bottom w:type="dxa" w:w="100"/>
              <w:right w:type="dxa" w:w="160"/>
            </w:tcMar>
            <w:vAlign w:val="top"/>
          </w:tcPr>
          <w:p>
            <w:pPr>
              <w:spacing w:after="60"/>
            </w:pPr>
            <w:r>
              <w:rPr>
                <w:rFonts w:ascii="Calibri" w:cs="Calibri" w:eastAsia="Calibri" w:hAnsi="Calibri"/>
                <w:color w:val="1E293B"/>
                <w:sz w:val="21"/>
                <w:szCs w:val="21"/>
              </w:rPr>
              <w:t xml:space="preserve">Truck drivers and owner-operators who have completed a delivery and need return cargo to avoid an empty backhaul.</w:t>
            </w:r>
          </w:p>
          <w:p>
            <w:pPr>
              <w:spacing w:after="40"/>
            </w:pPr>
            <w:r>
              <w:rPr>
                <w:rFonts w:ascii="Calibri" w:cs="Calibri" w:eastAsia="Calibri" w:hAnsi="Calibri"/>
                <w:b/>
                <w:bCs/>
                <w:color w:val="1A3557"/>
                <w:sz w:val="20"/>
                <w:szCs w:val="20"/>
              </w:rPr>
              <w:t xml:space="preserve">They can:</w:t>
            </w:r>
          </w:p>
          <w:p>
            <w:pPr>
              <w:pStyle w:val="ListParagraph"/>
              <w:numPr>
                <w:ilvl w:val="0"/>
                <w:numId w:val="2"/>
              </w:numPr>
              <w:spacing w:before="40" w:after="40"/>
            </w:pPr>
            <w:r>
              <w:rPr>
                <w:rFonts w:ascii="Calibri" w:cs="Calibri" w:eastAsia="Calibri" w:hAnsi="Calibri"/>
                <w:color w:val="1E293B"/>
                <w:sz w:val="20"/>
                <w:szCs w:val="20"/>
              </w:rPr>
              <w:t xml:space="preserve">Register truck, capacity, and documents</w:t>
            </w:r>
          </w:p>
          <w:p>
            <w:pPr>
              <w:pStyle w:val="ListParagraph"/>
              <w:numPr>
                <w:ilvl w:val="0"/>
                <w:numId w:val="2"/>
              </w:numPr>
              <w:spacing w:before="40" w:after="40"/>
            </w:pPr>
            <w:r>
              <w:rPr>
                <w:rFonts w:ascii="Calibri" w:cs="Calibri" w:eastAsia="Calibri" w:hAnsi="Calibri"/>
                <w:color w:val="1E293B"/>
                <w:sz w:val="20"/>
                <w:szCs w:val="20"/>
              </w:rPr>
              <w:t xml:space="preserve">Broadcast current location and return destination</w:t>
            </w:r>
          </w:p>
          <w:p>
            <w:pPr>
              <w:pStyle w:val="ListParagraph"/>
              <w:numPr>
                <w:ilvl w:val="0"/>
                <w:numId w:val="2"/>
              </w:numPr>
              <w:spacing w:before="40" w:after="40"/>
            </w:pPr>
            <w:r>
              <w:rPr>
                <w:rFonts w:ascii="Calibri" w:cs="Calibri" w:eastAsia="Calibri" w:hAnsi="Calibri"/>
                <w:color w:val="1E293B"/>
                <w:sz w:val="20"/>
                <w:szCs w:val="20"/>
              </w:rPr>
              <w:t xml:space="preserve">Browse and accept matching load requests</w:t>
            </w:r>
          </w:p>
          <w:p>
            <w:pPr>
              <w:pStyle w:val="ListParagraph"/>
              <w:numPr>
                <w:ilvl w:val="0"/>
                <w:numId w:val="2"/>
              </w:numPr>
              <w:spacing w:before="40" w:after="40"/>
            </w:pPr>
            <w:r>
              <w:rPr>
                <w:rFonts w:ascii="Calibri" w:cs="Calibri" w:eastAsia="Calibri" w:hAnsi="Calibri"/>
                <w:color w:val="1E293B"/>
                <w:sz w:val="20"/>
                <w:szCs w:val="20"/>
              </w:rPr>
              <w:t xml:space="preserve">Track earnings and trip history</w:t>
            </w:r>
          </w:p>
        </w:tc>
        <w:tc>
          <w:tcPr>
            <w:tcBorders>
              <w:top w:val="single" w:color="CBD5E1" w:sz="1"/>
              <w:left w:val="single" w:color="CBD5E1" w:sz="1"/>
              <w:bottom w:val="single" w:color="CBD5E1" w:sz="1"/>
              <w:right w:val="single" w:color="CBD5E1" w:sz="1"/>
            </w:tcBorders>
            <w:shd w:fill="FFF7F2" w:val="clear"/>
            <w:tcMar>
              <w:top w:type="dxa" w:w="100"/>
              <w:left w:type="dxa" w:w="160"/>
              <w:bottom w:type="dxa" w:w="100"/>
              <w:right w:type="dxa" w:w="160"/>
            </w:tcMar>
            <w:vAlign w:val="top"/>
          </w:tcPr>
          <w:p>
            <w:pPr>
              <w:spacing w:after="60"/>
            </w:pPr>
            <w:r>
              <w:rPr>
                <w:rFonts w:ascii="Calibri" w:cs="Calibri" w:eastAsia="Calibri" w:hAnsi="Calibri"/>
                <w:color w:val="1E293B"/>
                <w:sz w:val="21"/>
                <w:szCs w:val="21"/>
              </w:rPr>
              <w:t xml:space="preserve">Businesses, manufacturers, traders, and individuals who need goods transported between two points on short notice or as part of regular operations.</w:t>
            </w:r>
          </w:p>
          <w:p>
            <w:pPr>
              <w:spacing w:after="40"/>
            </w:pPr>
            <w:r>
              <w:rPr>
                <w:rFonts w:ascii="Calibri" w:cs="Calibri" w:eastAsia="Calibri" w:hAnsi="Calibri"/>
                <w:b/>
                <w:bCs/>
                <w:color w:val="1A3557"/>
                <w:sz w:val="20"/>
                <w:szCs w:val="20"/>
              </w:rPr>
              <w:t xml:space="preserve">They can:</w:t>
            </w:r>
          </w:p>
          <w:p>
            <w:pPr>
              <w:pStyle w:val="ListParagraph"/>
              <w:numPr>
                <w:ilvl w:val="0"/>
                <w:numId w:val="2"/>
              </w:numPr>
              <w:spacing w:before="40" w:after="40"/>
            </w:pPr>
            <w:r>
              <w:rPr>
                <w:rFonts w:ascii="Calibri" w:cs="Calibri" w:eastAsia="Calibri" w:hAnsi="Calibri"/>
                <w:color w:val="1E293B"/>
                <w:sz w:val="20"/>
                <w:szCs w:val="20"/>
              </w:rPr>
              <w:t xml:space="preserve">Post shipments with cargo type, weight, and timeline</w:t>
            </w:r>
          </w:p>
          <w:p>
            <w:pPr>
              <w:pStyle w:val="ListParagraph"/>
              <w:numPr>
                <w:ilvl w:val="0"/>
                <w:numId w:val="2"/>
              </w:numPr>
              <w:spacing w:before="40" w:after="40"/>
            </w:pPr>
            <w:r>
              <w:rPr>
                <w:rFonts w:ascii="Calibri" w:cs="Calibri" w:eastAsia="Calibri" w:hAnsi="Calibri"/>
                <w:color w:val="1E293B"/>
                <w:sz w:val="20"/>
                <w:szCs w:val="20"/>
              </w:rPr>
              <w:t xml:space="preserve">Receive matched truck options with ratings</w:t>
            </w:r>
          </w:p>
          <w:p>
            <w:pPr>
              <w:pStyle w:val="ListParagraph"/>
              <w:numPr>
                <w:ilvl w:val="0"/>
                <w:numId w:val="2"/>
              </w:numPr>
              <w:spacing w:before="40" w:after="40"/>
            </w:pPr>
            <w:r>
              <w:rPr>
                <w:rFonts w:ascii="Calibri" w:cs="Calibri" w:eastAsia="Calibri" w:hAnsi="Calibri"/>
                <w:color w:val="1E293B"/>
                <w:sz w:val="20"/>
                <w:szCs w:val="20"/>
              </w:rPr>
              <w:t xml:space="preserve">Agree price and confirm booking digitally</w:t>
            </w:r>
          </w:p>
          <w:p>
            <w:pPr>
              <w:pStyle w:val="ListParagraph"/>
              <w:numPr>
                <w:ilvl w:val="0"/>
                <w:numId w:val="2"/>
              </w:numPr>
              <w:spacing w:before="40" w:after="40"/>
            </w:pPr>
            <w:r>
              <w:rPr>
                <w:rFonts w:ascii="Calibri" w:cs="Calibri" w:eastAsia="Calibri" w:hAnsi="Calibri"/>
                <w:color w:val="1E293B"/>
                <w:sz w:val="20"/>
                <w:szCs w:val="20"/>
              </w:rPr>
              <w:t xml:space="preserve">Track shipment in real time until delivery</w:t>
            </w:r>
          </w:p>
        </w:tc>
      </w:tr>
    </w:tbl>
    <w:p>
      <w:pPr>
        <w:spacing w:before="0" w:after="120"/>
      </w:pPr>
      <w:r>
        <w:t xml:space="preserve"/>
      </w:r>
    </w:p>
    <w:p>
      <w:pPr>
        <w:pStyle w:val="Heading1"/>
        <w:pBdr>
          <w:bottom w:val="single" w:color="E8601C" w:sz="8" w:space="4"/>
        </w:pBdr>
        <w:spacing w:before="360" w:after="160"/>
      </w:pPr>
      <w:r>
        <w:rPr>
          <w:rFonts w:ascii="Calibri" w:cs="Calibri" w:eastAsia="Calibri" w:hAnsi="Calibri"/>
          <w:b/>
          <w:bCs/>
          <w:color w:val="1A3557"/>
          <w:sz w:val="32"/>
          <w:szCs w:val="32"/>
        </w:rPr>
        <w:t xml:space="preserve">3. How the Platform Works</w:t>
      </w:r>
    </w:p>
    <w:p>
      <w:pPr>
        <w:spacing w:before="80" w:after="100"/>
      </w:pPr>
      <w:r>
        <w:rPr>
          <w:rFonts w:ascii="Calibri" w:cs="Calibri" w:eastAsia="Calibri" w:hAnsi="Calibri"/>
          <w:color w:val="1E293B"/>
          <w:sz w:val="22"/>
          <w:szCs w:val="22"/>
        </w:rPr>
        <w:t xml:space="preserve">The end-to-end journey from truck availability to completed delivery follows five stages: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Borders>
              <w:top w:val="single" w:color="CBD5E1" w:sz="1"/>
              <w:left w:val="single" w:color="CBD5E1" w:sz="1"/>
              <w:bottom w:val="single" w:color="CBD5E1" w:sz="1"/>
              <w:right w:val="single" w:color="CBD5E1" w:sz="1"/>
            </w:tcBorders>
            <w:shd w:fill="1A3557" w:val="clear"/>
            <w:tcMar>
              <w:top w:type="dxa" w:w="80"/>
              <w:left w:type="dxa" w:w="120"/>
              <w:bottom w:type="dxa" w:w="80"/>
              <w:right w:type="dxa" w:w="120"/>
            </w:tcMar>
          </w:tcPr>
          <w:p>
            <w:pPr>
              <w:jc w:val="center"/>
            </w:pPr>
            <w:r>
              <w:rPr>
                <w:rFonts w:ascii="Calibri" w:cs="Calibri" w:eastAsia="Calibri" w:hAnsi="Calibri"/>
                <w:b/>
                <w:bCs/>
                <w:color w:val="FFFFFF"/>
                <w:sz w:val="21"/>
                <w:szCs w:val="21"/>
              </w:rPr>
              <w:t xml:space="preserve">#</w:t>
            </w:r>
          </w:p>
        </w:tc>
        <w:tc>
          <w:tcPr>
            <w:tcBorders>
              <w:top w:val="single" w:color="CBD5E1" w:sz="1"/>
              <w:left w:val="single" w:color="CBD5E1" w:sz="1"/>
              <w:bottom w:val="single" w:color="CBD5E1" w:sz="1"/>
              <w:right w:val="single" w:color="CBD5E1" w:sz="1"/>
            </w:tcBorders>
            <w:shd w:fill="1A3557" w:val="clear"/>
            <w:tcMar>
              <w:top w:type="dxa" w:w="80"/>
              <w:left w:type="dxa" w:w="120"/>
              <w:bottom w:type="dxa" w:w="80"/>
              <w:right w:type="dxa" w:w="120"/>
            </w:tcMar>
          </w:tcPr>
          <w:p>
            <w:r>
              <w:rPr>
                <w:rFonts w:ascii="Calibri" w:cs="Calibri" w:eastAsia="Calibri" w:hAnsi="Calibri"/>
                <w:b/>
                <w:bCs/>
                <w:color w:val="FFFFFF"/>
                <w:sz w:val="21"/>
                <w:szCs w:val="21"/>
              </w:rPr>
              <w:t xml:space="preserve">Stage</w:t>
            </w:r>
          </w:p>
        </w:tc>
        <w:tc>
          <w:tcPr>
            <w:tcBorders>
              <w:top w:val="single" w:color="CBD5E1" w:sz="1"/>
              <w:left w:val="single" w:color="CBD5E1" w:sz="1"/>
              <w:bottom w:val="single" w:color="CBD5E1" w:sz="1"/>
              <w:right w:val="single" w:color="CBD5E1" w:sz="1"/>
            </w:tcBorders>
            <w:shd w:fill="1A3557" w:val="clear"/>
            <w:tcMar>
              <w:top w:type="dxa" w:w="80"/>
              <w:left w:type="dxa" w:w="120"/>
              <w:bottom w:type="dxa" w:w="80"/>
              <w:right w:type="dxa" w:w="120"/>
            </w:tcMar>
          </w:tcPr>
          <w:p>
            <w:r>
              <w:rPr>
                <w:rFonts w:ascii="Calibri" w:cs="Calibri" w:eastAsia="Calibri" w:hAnsi="Calibri"/>
                <w:b/>
                <w:bCs/>
                <w:color w:val="FFFFFF"/>
                <w:sz w:val="21"/>
                <w:szCs w:val="21"/>
              </w:rPr>
              <w:t xml:space="preserve">Details</w:t>
            </w:r>
          </w:p>
        </w:tc>
      </w:tr>
      <w:tr>
        <w:tc>
          <w:tcPr>
            <w:tcW w:type="dxa" w:w="900"/>
            <w:tcBorders>
              <w:top w:val="single" w:color="CBD5E1" w:sz="1"/>
              <w:left w:val="single" w:color="CBD5E1" w:sz="1"/>
              <w:bottom w:val="single" w:color="CBD5E1" w:sz="1"/>
              <w:right w:val="single" w:color="CBD5E1" w:sz="1"/>
            </w:tcBorders>
            <w:shd w:fill="E8601C" w:val="clear"/>
            <w:tcMar>
              <w:top w:type="dxa" w:w="100"/>
              <w:left w:type="dxa" w:w="160"/>
              <w:bottom w:type="dxa" w:w="100"/>
              <w:right w:type="dxa" w:w="160"/>
            </w:tcMar>
            <w:vAlign w:val="center"/>
          </w:tcPr>
          <w:p>
            <w:pPr>
              <w:jc w:val="center"/>
            </w:pPr>
            <w:r>
              <w:rPr>
                <w:rFonts w:ascii="Calibri" w:cs="Calibri" w:eastAsia="Calibri" w:hAnsi="Calibri"/>
                <w:b/>
                <w:bCs/>
                <w:color w:val="FFFFFF"/>
                <w:sz w:val="28"/>
                <w:szCs w:val="28"/>
              </w:rPr>
              <w:t xml:space="preserve">1</w:t>
            </w:r>
          </w:p>
        </w:tc>
        <w:tc>
          <w:tcPr>
            <w:tcW w:type="dxa" w:w="2200"/>
            <w:tcBorders>
              <w:top w:val="single" w:color="CBD5E1" w:sz="1"/>
              <w:left w:val="single" w:color="CBD5E1" w:sz="1"/>
              <w:bottom w:val="single" w:color="CBD5E1" w:sz="1"/>
              <w:right w:val="single" w:color="CBD5E1" w:sz="1"/>
            </w:tcBorders>
            <w:shd w:fill="EEF3F9" w:val="clear"/>
            <w:tcMar>
              <w:top w:type="dxa" w:w="100"/>
              <w:left w:type="dxa" w:w="160"/>
              <w:bottom w:type="dxa" w:w="100"/>
              <w:right w:type="dxa" w:w="160"/>
            </w:tcMar>
          </w:tcPr>
          <w:p>
            <w:r>
              <w:rPr>
                <w:rFonts w:ascii="Calibri" w:cs="Calibri" w:eastAsia="Calibri" w:hAnsi="Calibri"/>
                <w:b/>
                <w:bCs/>
                <w:color w:val="1A3557"/>
                <w:sz w:val="22"/>
                <w:szCs w:val="22"/>
              </w:rPr>
              <w:t xml:space="preserve">Driver Registration</w:t>
            </w:r>
          </w:p>
        </w:tc>
        <w:tc>
          <w:tcPr>
            <w:tcW w:type="dxa" w:w="62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color w:val="1E293B"/>
                <w:sz w:val="21"/>
                <w:szCs w:val="21"/>
              </w:rPr>
              <w:t xml:space="preserve">Truck operators create a verified profile: truck type, load capacity, permit details, home state, and availability. Document upload (RC, permit, insurance) enables trust verification.</w:t>
            </w:r>
          </w:p>
        </w:tc>
      </w:tr>
      <w:tr>
        <w:tc>
          <w:tcPr>
            <w:tcW w:type="dxa" w:w="900"/>
            <w:tcBorders>
              <w:top w:val="single" w:color="CBD5E1" w:sz="1"/>
              <w:left w:val="single" w:color="CBD5E1" w:sz="1"/>
              <w:bottom w:val="single" w:color="CBD5E1" w:sz="1"/>
              <w:right w:val="single" w:color="CBD5E1" w:sz="1"/>
            </w:tcBorders>
            <w:shd w:fill="E8601C" w:val="clear"/>
            <w:tcMar>
              <w:top w:type="dxa" w:w="100"/>
              <w:left w:type="dxa" w:w="160"/>
              <w:bottom w:type="dxa" w:w="100"/>
              <w:right w:type="dxa" w:w="160"/>
            </w:tcMar>
            <w:vAlign w:val="center"/>
          </w:tcPr>
          <w:p>
            <w:pPr>
              <w:jc w:val="center"/>
            </w:pPr>
            <w:r>
              <w:rPr>
                <w:rFonts w:ascii="Calibri" w:cs="Calibri" w:eastAsia="Calibri" w:hAnsi="Calibri"/>
                <w:b/>
                <w:bCs/>
                <w:color w:val="FFFFFF"/>
                <w:sz w:val="28"/>
                <w:szCs w:val="28"/>
              </w:rPr>
              <w:t xml:space="preserve">2</w:t>
            </w:r>
          </w:p>
        </w:tc>
        <w:tc>
          <w:tcPr>
            <w:tcW w:type="dxa" w:w="2200"/>
            <w:tcBorders>
              <w:top w:val="single" w:color="CBD5E1" w:sz="1"/>
              <w:left w:val="single" w:color="CBD5E1" w:sz="1"/>
              <w:bottom w:val="single" w:color="CBD5E1" w:sz="1"/>
              <w:right w:val="single" w:color="CBD5E1" w:sz="1"/>
            </w:tcBorders>
            <w:shd w:fill="EEF3F9" w:val="clear"/>
            <w:tcMar>
              <w:top w:type="dxa" w:w="100"/>
              <w:left w:type="dxa" w:w="160"/>
              <w:bottom w:type="dxa" w:w="100"/>
              <w:right w:type="dxa" w:w="160"/>
            </w:tcMar>
          </w:tcPr>
          <w:p>
            <w:r>
              <w:rPr>
                <w:rFonts w:ascii="Calibri" w:cs="Calibri" w:eastAsia="Calibri" w:hAnsi="Calibri"/>
                <w:b/>
                <w:bCs/>
                <w:color w:val="1A3557"/>
                <w:sz w:val="22"/>
                <w:szCs w:val="22"/>
              </w:rPr>
              <w:t xml:space="preserve">Availability Broadcast</w:t>
            </w:r>
          </w:p>
        </w:tc>
        <w:tc>
          <w:tcPr>
            <w:tcW w:type="dxa" w:w="62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color w:val="1E293B"/>
                <w:sz w:val="21"/>
                <w:szCs w:val="21"/>
              </w:rPr>
              <w:t xml:space="preserve">Upon completing a delivery, the driver marks availability and sets their current location and intended return route. The platform immediately begins surfacing matching loads.</w:t>
            </w:r>
          </w:p>
        </w:tc>
      </w:tr>
      <w:tr>
        <w:tc>
          <w:tcPr>
            <w:tcW w:type="dxa" w:w="900"/>
            <w:tcBorders>
              <w:top w:val="single" w:color="CBD5E1" w:sz="1"/>
              <w:left w:val="single" w:color="CBD5E1" w:sz="1"/>
              <w:bottom w:val="single" w:color="CBD5E1" w:sz="1"/>
              <w:right w:val="single" w:color="CBD5E1" w:sz="1"/>
            </w:tcBorders>
            <w:shd w:fill="E8601C" w:val="clear"/>
            <w:tcMar>
              <w:top w:type="dxa" w:w="100"/>
              <w:left w:type="dxa" w:w="160"/>
              <w:bottom w:type="dxa" w:w="100"/>
              <w:right w:type="dxa" w:w="160"/>
            </w:tcMar>
            <w:vAlign w:val="center"/>
          </w:tcPr>
          <w:p>
            <w:pPr>
              <w:jc w:val="center"/>
            </w:pPr>
            <w:r>
              <w:rPr>
                <w:rFonts w:ascii="Calibri" w:cs="Calibri" w:eastAsia="Calibri" w:hAnsi="Calibri"/>
                <w:b/>
                <w:bCs/>
                <w:color w:val="FFFFFF"/>
                <w:sz w:val="28"/>
                <w:szCs w:val="28"/>
              </w:rPr>
              <w:t xml:space="preserve">3</w:t>
            </w:r>
          </w:p>
        </w:tc>
        <w:tc>
          <w:tcPr>
            <w:tcW w:type="dxa" w:w="2200"/>
            <w:tcBorders>
              <w:top w:val="single" w:color="CBD5E1" w:sz="1"/>
              <w:left w:val="single" w:color="CBD5E1" w:sz="1"/>
              <w:bottom w:val="single" w:color="CBD5E1" w:sz="1"/>
              <w:right w:val="single" w:color="CBD5E1" w:sz="1"/>
            </w:tcBorders>
            <w:shd w:fill="EEF3F9" w:val="clear"/>
            <w:tcMar>
              <w:top w:type="dxa" w:w="100"/>
              <w:left w:type="dxa" w:w="160"/>
              <w:bottom w:type="dxa" w:w="100"/>
              <w:right w:type="dxa" w:w="160"/>
            </w:tcMar>
          </w:tcPr>
          <w:p>
            <w:r>
              <w:rPr>
                <w:rFonts w:ascii="Calibri" w:cs="Calibri" w:eastAsia="Calibri" w:hAnsi="Calibri"/>
                <w:b/>
                <w:bCs/>
                <w:color w:val="1A3557"/>
                <w:sz w:val="22"/>
                <w:szCs w:val="22"/>
              </w:rPr>
              <w:t xml:space="preserve">Load Posting</w:t>
            </w:r>
          </w:p>
        </w:tc>
        <w:tc>
          <w:tcPr>
            <w:tcW w:type="dxa" w:w="62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color w:val="1E293B"/>
                <w:sz w:val="21"/>
                <w:szCs w:val="21"/>
              </w:rPr>
              <w:t xml:space="preserve">Businesses post shipment requirements: pickup pin, delivery destination, cargo description, weight, handling instructions, preferred timeline, and offered rate.</w:t>
            </w:r>
          </w:p>
        </w:tc>
      </w:tr>
      <w:tr>
        <w:tc>
          <w:tcPr>
            <w:tcW w:type="dxa" w:w="900"/>
            <w:tcBorders>
              <w:top w:val="single" w:color="CBD5E1" w:sz="1"/>
              <w:left w:val="single" w:color="CBD5E1" w:sz="1"/>
              <w:bottom w:val="single" w:color="CBD5E1" w:sz="1"/>
              <w:right w:val="single" w:color="CBD5E1" w:sz="1"/>
            </w:tcBorders>
            <w:shd w:fill="E8601C" w:val="clear"/>
            <w:tcMar>
              <w:top w:type="dxa" w:w="100"/>
              <w:left w:type="dxa" w:w="160"/>
              <w:bottom w:type="dxa" w:w="100"/>
              <w:right w:type="dxa" w:w="160"/>
            </w:tcMar>
            <w:vAlign w:val="center"/>
          </w:tcPr>
          <w:p>
            <w:pPr>
              <w:jc w:val="center"/>
            </w:pPr>
            <w:r>
              <w:rPr>
                <w:rFonts w:ascii="Calibri" w:cs="Calibri" w:eastAsia="Calibri" w:hAnsi="Calibri"/>
                <w:b/>
                <w:bCs/>
                <w:color w:val="FFFFFF"/>
                <w:sz w:val="28"/>
                <w:szCs w:val="28"/>
              </w:rPr>
              <w:t xml:space="preserve">4</w:t>
            </w:r>
          </w:p>
        </w:tc>
        <w:tc>
          <w:tcPr>
            <w:tcW w:type="dxa" w:w="2200"/>
            <w:tcBorders>
              <w:top w:val="single" w:color="CBD5E1" w:sz="1"/>
              <w:left w:val="single" w:color="CBD5E1" w:sz="1"/>
              <w:bottom w:val="single" w:color="CBD5E1" w:sz="1"/>
              <w:right w:val="single" w:color="CBD5E1" w:sz="1"/>
            </w:tcBorders>
            <w:shd w:fill="EEF3F9" w:val="clear"/>
            <w:tcMar>
              <w:top w:type="dxa" w:w="100"/>
              <w:left w:type="dxa" w:w="160"/>
              <w:bottom w:type="dxa" w:w="100"/>
              <w:right w:type="dxa" w:w="160"/>
            </w:tcMar>
          </w:tcPr>
          <w:p>
            <w:r>
              <w:rPr>
                <w:rFonts w:ascii="Calibri" w:cs="Calibri" w:eastAsia="Calibri" w:hAnsi="Calibri"/>
                <w:b/>
                <w:bCs/>
                <w:color w:val="1A3557"/>
                <w:sz w:val="22"/>
                <w:szCs w:val="22"/>
              </w:rPr>
              <w:t xml:space="preserve">Route-Based Matching</w:t>
            </w:r>
          </w:p>
        </w:tc>
        <w:tc>
          <w:tcPr>
            <w:tcW w:type="dxa" w:w="62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color w:val="1E293B"/>
                <w:sz w:val="21"/>
                <w:szCs w:val="21"/>
              </w:rPr>
              <w:t xml:space="preserve">The matching engine identifies trucks whose return route passes within a configurable radius of the pickup point and whose capacity is sufficient. Ranked matches are surfaced to both parties.</w:t>
            </w:r>
          </w:p>
        </w:tc>
      </w:tr>
      <w:tr>
        <w:tc>
          <w:tcPr>
            <w:tcW w:type="dxa" w:w="900"/>
            <w:tcBorders>
              <w:top w:val="single" w:color="CBD5E1" w:sz="1"/>
              <w:left w:val="single" w:color="CBD5E1" w:sz="1"/>
              <w:bottom w:val="single" w:color="CBD5E1" w:sz="1"/>
              <w:right w:val="single" w:color="CBD5E1" w:sz="1"/>
            </w:tcBorders>
            <w:shd w:fill="E8601C" w:val="clear"/>
            <w:tcMar>
              <w:top w:type="dxa" w:w="100"/>
              <w:left w:type="dxa" w:w="160"/>
              <w:bottom w:type="dxa" w:w="100"/>
              <w:right w:type="dxa" w:w="160"/>
            </w:tcMar>
            <w:vAlign w:val="center"/>
          </w:tcPr>
          <w:p>
            <w:pPr>
              <w:jc w:val="center"/>
            </w:pPr>
            <w:r>
              <w:rPr>
                <w:rFonts w:ascii="Calibri" w:cs="Calibri" w:eastAsia="Calibri" w:hAnsi="Calibri"/>
                <w:b/>
                <w:bCs/>
                <w:color w:val="FFFFFF"/>
                <w:sz w:val="28"/>
                <w:szCs w:val="28"/>
              </w:rPr>
              <w:t xml:space="preserve">5</w:t>
            </w:r>
          </w:p>
        </w:tc>
        <w:tc>
          <w:tcPr>
            <w:tcW w:type="dxa" w:w="2200"/>
            <w:tcBorders>
              <w:top w:val="single" w:color="CBD5E1" w:sz="1"/>
              <w:left w:val="single" w:color="CBD5E1" w:sz="1"/>
              <w:bottom w:val="single" w:color="CBD5E1" w:sz="1"/>
              <w:right w:val="single" w:color="CBD5E1" w:sz="1"/>
            </w:tcBorders>
            <w:shd w:fill="EEF3F9" w:val="clear"/>
            <w:tcMar>
              <w:top w:type="dxa" w:w="100"/>
              <w:left w:type="dxa" w:w="160"/>
              <w:bottom w:type="dxa" w:w="100"/>
              <w:right w:type="dxa" w:w="160"/>
            </w:tcMar>
          </w:tcPr>
          <w:p>
            <w:r>
              <w:rPr>
                <w:rFonts w:ascii="Calibri" w:cs="Calibri" w:eastAsia="Calibri" w:hAnsi="Calibri"/>
                <w:b/>
                <w:bCs/>
                <w:color w:val="1A3557"/>
                <w:sz w:val="22"/>
                <w:szCs w:val="22"/>
              </w:rPr>
              <w:t xml:space="preserve">Booking &amp; Confirmation</w:t>
            </w:r>
          </w:p>
        </w:tc>
        <w:tc>
          <w:tcPr>
            <w:tcW w:type="dxa" w:w="62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color w:val="1E293B"/>
                <w:sz w:val="21"/>
                <w:szCs w:val="21"/>
              </w:rPr>
              <w:t xml:space="preserve">Driver accepts, counter-offers, or declines. On agreement, both parties receive a digital booking confirmation with trip details, contact info, and payment terms.</w:t>
            </w:r>
          </w:p>
        </w:tc>
      </w:tr>
      <w:tr>
        <w:tc>
          <w:tcPr>
            <w:tcW w:type="dxa" w:w="900"/>
            <w:tcBorders>
              <w:top w:val="single" w:color="CBD5E1" w:sz="1"/>
              <w:left w:val="single" w:color="CBD5E1" w:sz="1"/>
              <w:bottom w:val="single" w:color="CBD5E1" w:sz="1"/>
              <w:right w:val="single" w:color="CBD5E1" w:sz="1"/>
            </w:tcBorders>
            <w:shd w:fill="E8601C" w:val="clear"/>
            <w:tcMar>
              <w:top w:type="dxa" w:w="100"/>
              <w:left w:type="dxa" w:w="160"/>
              <w:bottom w:type="dxa" w:w="100"/>
              <w:right w:type="dxa" w:w="160"/>
            </w:tcMar>
            <w:vAlign w:val="center"/>
          </w:tcPr>
          <w:p>
            <w:pPr>
              <w:jc w:val="center"/>
            </w:pPr>
            <w:r>
              <w:rPr>
                <w:rFonts w:ascii="Calibri" w:cs="Calibri" w:eastAsia="Calibri" w:hAnsi="Calibri"/>
                <w:b/>
                <w:bCs/>
                <w:color w:val="FFFFFF"/>
                <w:sz w:val="28"/>
                <w:szCs w:val="28"/>
              </w:rPr>
              <w:t xml:space="preserve">6</w:t>
            </w:r>
          </w:p>
        </w:tc>
        <w:tc>
          <w:tcPr>
            <w:tcW w:type="dxa" w:w="2200"/>
            <w:tcBorders>
              <w:top w:val="single" w:color="CBD5E1" w:sz="1"/>
              <w:left w:val="single" w:color="CBD5E1" w:sz="1"/>
              <w:bottom w:val="single" w:color="CBD5E1" w:sz="1"/>
              <w:right w:val="single" w:color="CBD5E1" w:sz="1"/>
            </w:tcBorders>
            <w:shd w:fill="EEF3F9" w:val="clear"/>
            <w:tcMar>
              <w:top w:type="dxa" w:w="100"/>
              <w:left w:type="dxa" w:w="160"/>
              <w:bottom w:type="dxa" w:w="100"/>
              <w:right w:type="dxa" w:w="160"/>
            </w:tcMar>
          </w:tcPr>
          <w:p>
            <w:r>
              <w:rPr>
                <w:rFonts w:ascii="Calibri" w:cs="Calibri" w:eastAsia="Calibri" w:hAnsi="Calibri"/>
                <w:b/>
                <w:bCs/>
                <w:color w:val="1A3557"/>
                <w:sz w:val="22"/>
                <w:szCs w:val="22"/>
              </w:rPr>
              <w:t xml:space="preserve">Live Shipment Tracking</w:t>
            </w:r>
          </w:p>
        </w:tc>
        <w:tc>
          <w:tcPr>
            <w:tcW w:type="dxa" w:w="62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color w:val="1E293B"/>
                <w:sz w:val="21"/>
                <w:szCs w:val="21"/>
              </w:rPr>
              <w:t xml:space="preserve">GPS location from the driver's mobile device is shared with the load provider throughout the journey. Status updates (picked up, in transit, delivered) are logged and timestamped.</w:t>
            </w:r>
          </w:p>
        </w:tc>
      </w:tr>
      <w:tr>
        <w:tc>
          <w:tcPr>
            <w:tcW w:type="dxa" w:w="900"/>
            <w:tcBorders>
              <w:top w:val="single" w:color="CBD5E1" w:sz="1"/>
              <w:left w:val="single" w:color="CBD5E1" w:sz="1"/>
              <w:bottom w:val="single" w:color="CBD5E1" w:sz="1"/>
              <w:right w:val="single" w:color="CBD5E1" w:sz="1"/>
            </w:tcBorders>
            <w:shd w:fill="E8601C" w:val="clear"/>
            <w:tcMar>
              <w:top w:type="dxa" w:w="100"/>
              <w:left w:type="dxa" w:w="160"/>
              <w:bottom w:type="dxa" w:w="100"/>
              <w:right w:type="dxa" w:w="160"/>
            </w:tcMar>
            <w:vAlign w:val="center"/>
          </w:tcPr>
          <w:p>
            <w:pPr>
              <w:jc w:val="center"/>
            </w:pPr>
            <w:r>
              <w:rPr>
                <w:rFonts w:ascii="Calibri" w:cs="Calibri" w:eastAsia="Calibri" w:hAnsi="Calibri"/>
                <w:b/>
                <w:bCs/>
                <w:color w:val="FFFFFF"/>
                <w:sz w:val="28"/>
                <w:szCs w:val="28"/>
              </w:rPr>
              <w:t xml:space="preserve">7</w:t>
            </w:r>
          </w:p>
        </w:tc>
        <w:tc>
          <w:tcPr>
            <w:tcW w:type="dxa" w:w="2200"/>
            <w:tcBorders>
              <w:top w:val="single" w:color="CBD5E1" w:sz="1"/>
              <w:left w:val="single" w:color="CBD5E1" w:sz="1"/>
              <w:bottom w:val="single" w:color="CBD5E1" w:sz="1"/>
              <w:right w:val="single" w:color="CBD5E1" w:sz="1"/>
            </w:tcBorders>
            <w:shd w:fill="EEF3F9" w:val="clear"/>
            <w:tcMar>
              <w:top w:type="dxa" w:w="100"/>
              <w:left w:type="dxa" w:w="160"/>
              <w:bottom w:type="dxa" w:w="100"/>
              <w:right w:type="dxa" w:w="160"/>
            </w:tcMar>
          </w:tcPr>
          <w:p>
            <w:r>
              <w:rPr>
                <w:rFonts w:ascii="Calibri" w:cs="Calibri" w:eastAsia="Calibri" w:hAnsi="Calibri"/>
                <w:b/>
                <w:bCs/>
                <w:color w:val="1A3557"/>
                <w:sz w:val="22"/>
                <w:szCs w:val="22"/>
              </w:rPr>
              <w:t xml:space="preserve">Completion &amp; Rating</w:t>
            </w:r>
          </w:p>
        </w:tc>
        <w:tc>
          <w:tcPr>
            <w:tcW w:type="dxa" w:w="62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color w:val="1E293B"/>
                <w:sz w:val="21"/>
                <w:szCs w:val="21"/>
              </w:rPr>
              <w:t xml:space="preserve">On delivery, both parties confirm completion and submit ratings. Payment is processed via integrated gateway. Trip data feeds driver and shipper reputation scores.</w:t>
            </w:r>
          </w:p>
        </w:tc>
      </w:tr>
    </w:tbl>
    <w:p>
      <w:pPr>
        <w:spacing w:before="0" w:after="120"/>
      </w:pPr>
      <w:r>
        <w:t xml:space="preserve"/>
      </w:r>
    </w:p>
    <w:p>
      <w:pPr>
        <w:pStyle w:val="Heading1"/>
        <w:pBdr>
          <w:bottom w:val="single" w:color="E8601C" w:sz="8" w:space="4"/>
        </w:pBdr>
        <w:spacing w:before="360" w:after="160"/>
      </w:pPr>
      <w:r>
        <w:rPr>
          <w:rFonts w:ascii="Calibri" w:cs="Calibri" w:eastAsia="Calibri" w:hAnsi="Calibri"/>
          <w:b/>
          <w:bCs/>
          <w:color w:val="1A3557"/>
          <w:sz w:val="32"/>
          <w:szCs w:val="32"/>
        </w:rPr>
        <w:t xml:space="preserve">4. Key Platform Features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Return Load Finder</w:t>
            </w:r>
          </w:p>
        </w:tc>
        <w:tc>
          <w:tcPr>
            <w:tcW w:type="dxa" w:w="6960"/>
            <w:tcBorders>
              <w:top w:val="single" w:color="CBD5E1" w:sz="1"/>
              <w:left w:val="single" w:color="CBD5E1" w:sz="1"/>
              <w:bottom w:val="single" w:color="CBD5E1" w:sz="1"/>
              <w:right w:val="single" w:color="CBD5E1" w:sz="1"/>
            </w:tcBorders>
            <w:shd w:fill="EEF3F9" w:val="clear"/>
            <w:tcMar>
              <w:top w:type="dxa" w:w="100"/>
              <w:left w:type="dxa" w:w="160"/>
              <w:bottom w:type="dxa" w:w="100"/>
              <w:right w:type="dxa" w:w="160"/>
            </w:tcMar>
          </w:tcPr>
          <w:p>
            <w:r>
              <w:rPr>
                <w:rFonts w:ascii="Calibri" w:cs="Calibri" w:eastAsia="Calibri" w:hAnsi="Calibri"/>
                <w:color w:val="1E293B"/>
                <w:sz w:val="21"/>
                <w:szCs w:val="21"/>
              </w:rPr>
              <w:t xml:space="preserve">A smart search interface allowing drivers to discover available shipments near their current location that align with their return route. Filters include cargo type, minimum/maximum weight, offered price range, and pickup radius.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Route-Match Engine</w:t>
            </w:r>
          </w:p>
        </w:tc>
        <w:tc>
          <w:tcPr>
            <w:tcW w:type="dxa" w:w="6960"/>
            <w:tcBorders>
              <w:top w:val="single" w:color="CBD5E1" w:sz="1"/>
              <w:left w:val="single" w:color="CBD5E1" w:sz="1"/>
              <w:bottom w:val="single" w:color="CBD5E1" w:sz="1"/>
              <w:right w:val="single" w:color="CBD5E1" w:sz="1"/>
            </w:tcBorders>
            <w:shd w:fill="EEF3F9" w:val="clear"/>
            <w:tcMar>
              <w:top w:type="dxa" w:w="100"/>
              <w:left w:type="dxa" w:w="160"/>
              <w:bottom w:type="dxa" w:w="100"/>
              <w:right w:type="dxa" w:w="160"/>
            </w:tcMar>
          </w:tcPr>
          <w:p>
            <w:r>
              <w:rPr>
                <w:rFonts w:ascii="Calibri" w:cs="Calibri" w:eastAsia="Calibri" w:hAnsi="Calibri"/>
                <w:color w:val="1E293B"/>
                <w:sz w:val="21"/>
                <w:szCs w:val="21"/>
              </w:rPr>
              <w:t xml:space="preserve">The core algorithm plots the driver's intended return path and identifies shipments whose pickup–delivery corridor overlaps with that route. Detour distance is factored in, so drivers are never sent significantly off-route.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Real-Time GPS Tracking</w:t>
            </w:r>
          </w:p>
        </w:tc>
        <w:tc>
          <w:tcPr>
            <w:tcW w:type="dxa" w:w="6960"/>
            <w:tcBorders>
              <w:top w:val="single" w:color="CBD5E1" w:sz="1"/>
              <w:left w:val="single" w:color="CBD5E1" w:sz="1"/>
              <w:bottom w:val="single" w:color="CBD5E1" w:sz="1"/>
              <w:right w:val="single" w:color="CBD5E1" w:sz="1"/>
            </w:tcBorders>
            <w:shd w:fill="EEF3F9" w:val="clear"/>
            <w:tcMar>
              <w:top w:type="dxa" w:w="100"/>
              <w:left w:type="dxa" w:w="160"/>
              <w:bottom w:type="dxa" w:w="100"/>
              <w:right w:type="dxa" w:w="160"/>
            </w:tcMar>
          </w:tcPr>
          <w:p>
            <w:r>
              <w:rPr>
                <w:rFonts w:ascii="Calibri" w:cs="Calibri" w:eastAsia="Calibri" w:hAnsi="Calibri"/>
                <w:color w:val="1E293B"/>
                <w:sz w:val="21"/>
                <w:szCs w:val="21"/>
              </w:rPr>
              <w:t xml:space="preserve">Live location sharing from driver mobile to load provider dashboard. Estimated arrival times are dynamically updated based on current location and road conditions via OpenStreetMap routing.</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In-App Negotiation</w:t>
            </w:r>
          </w:p>
        </w:tc>
        <w:tc>
          <w:tcPr>
            <w:tcW w:type="dxa" w:w="6960"/>
            <w:tcBorders>
              <w:top w:val="single" w:color="CBD5E1" w:sz="1"/>
              <w:left w:val="single" w:color="CBD5E1" w:sz="1"/>
              <w:bottom w:val="single" w:color="CBD5E1" w:sz="1"/>
              <w:right w:val="single" w:color="CBD5E1" w:sz="1"/>
            </w:tcBorders>
            <w:shd w:fill="EEF3F9" w:val="clear"/>
            <w:tcMar>
              <w:top w:type="dxa" w:w="100"/>
              <w:left w:type="dxa" w:w="160"/>
              <w:bottom w:type="dxa" w:w="100"/>
              <w:right w:type="dxa" w:w="160"/>
            </w:tcMar>
          </w:tcPr>
          <w:p>
            <w:r>
              <w:rPr>
                <w:rFonts w:ascii="Calibri" w:cs="Calibri" w:eastAsia="Calibri" w:hAnsi="Calibri"/>
                <w:color w:val="1E293B"/>
                <w:sz w:val="21"/>
                <w:szCs w:val="21"/>
              </w:rPr>
              <w:t xml:space="preserve">A structured negotiation flow lets drivers counter-offer on listed prices, with a clear offer/counter-offer/accept/reject interface. Agreed rates are locked at booking and cannot be changed unilaterally.</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Trust &amp; Rating System</w:t>
            </w:r>
          </w:p>
        </w:tc>
        <w:tc>
          <w:tcPr>
            <w:tcW w:type="dxa" w:w="6960"/>
            <w:tcBorders>
              <w:top w:val="single" w:color="CBD5E1" w:sz="1"/>
              <w:left w:val="single" w:color="CBD5E1" w:sz="1"/>
              <w:bottom w:val="single" w:color="CBD5E1" w:sz="1"/>
              <w:right w:val="single" w:color="CBD5E1" w:sz="1"/>
            </w:tcBorders>
            <w:shd w:fill="EEF3F9" w:val="clear"/>
            <w:tcMar>
              <w:top w:type="dxa" w:w="100"/>
              <w:left w:type="dxa" w:w="160"/>
              <w:bottom w:type="dxa" w:w="100"/>
              <w:right w:type="dxa" w:w="160"/>
            </w:tcMar>
          </w:tcPr>
          <w:p>
            <w:r>
              <w:rPr>
                <w:rFonts w:ascii="Calibri" w:cs="Calibri" w:eastAsia="Calibri" w:hAnsi="Calibri"/>
                <w:color w:val="1E293B"/>
                <w:sz w:val="21"/>
                <w:szCs w:val="21"/>
              </w:rPr>
              <w:t xml:space="preserve">Two-way ratings after every completed trip. Aggregate driver scores cover punctuality, cargo handling, and communication. Shipper scores reflect accuracy of load details and payment reliability.</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Smart Notifications</w:t>
            </w:r>
          </w:p>
        </w:tc>
        <w:tc>
          <w:tcPr>
            <w:tcW w:type="dxa" w:w="6960"/>
            <w:tcBorders>
              <w:top w:val="single" w:color="CBD5E1" w:sz="1"/>
              <w:left w:val="single" w:color="CBD5E1" w:sz="1"/>
              <w:bottom w:val="single" w:color="CBD5E1" w:sz="1"/>
              <w:right w:val="single" w:color="CBD5E1" w:sz="1"/>
            </w:tcBorders>
            <w:shd w:fill="EEF3F9" w:val="clear"/>
            <w:tcMar>
              <w:top w:type="dxa" w:w="100"/>
              <w:left w:type="dxa" w:w="160"/>
              <w:bottom w:type="dxa" w:w="100"/>
              <w:right w:type="dxa" w:w="160"/>
            </w:tcMar>
          </w:tcPr>
          <w:p>
            <w:r>
              <w:rPr>
                <w:rFonts w:ascii="Calibri" w:cs="Calibri" w:eastAsia="Calibri" w:hAnsi="Calibri"/>
                <w:color w:val="1E293B"/>
                <w:sz w:val="21"/>
                <w:szCs w:val="21"/>
              </w:rPr>
              <w:t xml:space="preserve">Push and SMS alerts notify drivers of new load opportunities near their route in real time. Shippers are alerted when a matching truck accepts availability within their window.</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Document Vault</w:t>
            </w:r>
          </w:p>
        </w:tc>
        <w:tc>
          <w:tcPr>
            <w:tcW w:type="dxa" w:w="6960"/>
            <w:tcBorders>
              <w:top w:val="single" w:color="CBD5E1" w:sz="1"/>
              <w:left w:val="single" w:color="CBD5E1" w:sz="1"/>
              <w:bottom w:val="single" w:color="CBD5E1" w:sz="1"/>
              <w:right w:val="single" w:color="CBD5E1" w:sz="1"/>
            </w:tcBorders>
            <w:shd w:fill="EEF3F9" w:val="clear"/>
            <w:tcMar>
              <w:top w:type="dxa" w:w="100"/>
              <w:left w:type="dxa" w:w="160"/>
              <w:bottom w:type="dxa" w:w="100"/>
              <w:right w:type="dxa" w:w="160"/>
            </w:tcMar>
          </w:tcPr>
          <w:p>
            <w:r>
              <w:rPr>
                <w:rFonts w:ascii="Calibri" w:cs="Calibri" w:eastAsia="Calibri" w:hAnsi="Calibri"/>
                <w:color w:val="1E293B"/>
                <w:sz w:val="21"/>
                <w:szCs w:val="21"/>
              </w:rPr>
              <w:t xml:space="preserve">Drivers upload and store RC, national permit, insurance, PUC, and driver licence. Verified documents are visible to shippers, reducing friction and building trust before booking.</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Digital Booking Record</w:t>
            </w:r>
          </w:p>
        </w:tc>
        <w:tc>
          <w:tcPr>
            <w:tcW w:type="dxa" w:w="6960"/>
            <w:tcBorders>
              <w:top w:val="single" w:color="CBD5E1" w:sz="1"/>
              <w:left w:val="single" w:color="CBD5E1" w:sz="1"/>
              <w:bottom w:val="single" w:color="CBD5E1" w:sz="1"/>
              <w:right w:val="single" w:color="CBD5E1" w:sz="1"/>
            </w:tcBorders>
            <w:shd w:fill="EEF3F9" w:val="clear"/>
            <w:tcMar>
              <w:top w:type="dxa" w:w="100"/>
              <w:left w:type="dxa" w:w="160"/>
              <w:bottom w:type="dxa" w:w="100"/>
              <w:right w:type="dxa" w:w="160"/>
            </w:tcMar>
          </w:tcPr>
          <w:p>
            <w:r>
              <w:rPr>
                <w:rFonts w:ascii="Calibri" w:cs="Calibri" w:eastAsia="Calibri" w:hAnsi="Calibri"/>
                <w:color w:val="1E293B"/>
                <w:sz w:val="21"/>
                <w:szCs w:val="21"/>
              </w:rPr>
              <w:t xml:space="preserve">Every completed trip generates a timestamped booking record accessible to both parties — useful for GST documentation, dispute resolution, and financial record-keeping.</w:t>
            </w:r>
          </w:p>
        </w:tc>
      </w:tr>
    </w:tbl>
    <w:p>
      <w:pPr>
        <w:spacing w:before="0" w:after="120"/>
      </w:pPr>
      <w:r>
        <w:t xml:space="preserve"/>
      </w:r>
    </w:p>
    <w:p>
      <w:pPr>
        <w:pStyle w:val="Heading1"/>
        <w:pBdr>
          <w:bottom w:val="single" w:color="E8601C" w:sz="8" w:space="4"/>
        </w:pBdr>
        <w:spacing w:before="360" w:after="160"/>
      </w:pPr>
      <w:r>
        <w:rPr>
          <w:rFonts w:ascii="Calibri" w:cs="Calibri" w:eastAsia="Calibri" w:hAnsi="Calibri"/>
          <w:b/>
          <w:bCs/>
          <w:color w:val="1A3557"/>
          <w:sz w:val="32"/>
          <w:szCs w:val="32"/>
        </w:rPr>
        <w:t xml:space="preserve">5. Technical Architecture</w:t>
      </w:r>
    </w:p>
    <w:p>
      <w:pPr>
        <w:pStyle w:val="Heading2"/>
        <w:spacing w:before="280" w:after="100"/>
      </w:pPr>
      <w:r>
        <w:rPr>
          <w:rFonts w:ascii="Calibri" w:cs="Calibri" w:eastAsia="Calibri" w:hAnsi="Calibri"/>
          <w:b/>
          <w:bCs/>
          <w:color w:val="1A3557"/>
          <w:sz w:val="26"/>
          <w:szCs w:val="26"/>
        </w:rPr>
        <w:t xml:space="preserve">5.1  System Components</w:t>
      </w:r>
    </w:p>
    <w:p>
      <w:pPr>
        <w:spacing w:before="80" w:after="100"/>
      </w:pPr>
      <w:r>
        <w:rPr>
          <w:rFonts w:ascii="Calibri" w:cs="Calibri" w:eastAsia="Calibri" w:hAnsi="Calibri"/>
          <w:color w:val="1E293B"/>
          <w:sz w:val="22"/>
          <w:szCs w:val="22"/>
        </w:rPr>
        <w:t xml:space="preserve">The platform is designed as a three-tier web application with clear separation of concerns, enabling independent scaling of each layer: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Borders>
              <w:top w:val="single" w:color="CBD5E1" w:sz="1"/>
              <w:left w:val="single" w:color="CBD5E1" w:sz="1"/>
              <w:bottom w:val="single" w:color="CBD5E1" w:sz="1"/>
              <w:right w:val="single" w:color="CBD5E1" w:sz="1"/>
            </w:tcBorders>
            <w:shd w:fill="1A3557" w:val="clear"/>
            <w:tcMar>
              <w:top w:type="dxa" w:w="80"/>
              <w:left w:type="dxa" w:w="140"/>
              <w:bottom w:type="dxa" w:w="80"/>
              <w:right w:type="dxa" w:w="140"/>
            </w:tcMar>
          </w:tcPr>
          <w:p>
            <w:r>
              <w:rPr>
                <w:rFonts w:ascii="Calibri" w:cs="Calibri" w:eastAsia="Calibri" w:hAnsi="Calibri"/>
                <w:b/>
                <w:bCs/>
                <w:color w:val="FFFFFF"/>
                <w:sz w:val="20"/>
                <w:szCs w:val="20"/>
              </w:rPr>
              <w:t xml:space="preserve">Layer</w:t>
            </w:r>
          </w:p>
        </w:tc>
        <w:tc>
          <w:tcPr>
            <w:tcBorders>
              <w:top w:val="single" w:color="CBD5E1" w:sz="1"/>
              <w:left w:val="single" w:color="CBD5E1" w:sz="1"/>
              <w:bottom w:val="single" w:color="CBD5E1" w:sz="1"/>
              <w:right w:val="single" w:color="CBD5E1" w:sz="1"/>
            </w:tcBorders>
            <w:shd w:fill="1A3557" w:val="clear"/>
            <w:tcMar>
              <w:top w:type="dxa" w:w="80"/>
              <w:left w:type="dxa" w:w="140"/>
              <w:bottom w:type="dxa" w:w="80"/>
              <w:right w:type="dxa" w:w="140"/>
            </w:tcMar>
          </w:tcPr>
          <w:p>
            <w:r>
              <w:rPr>
                <w:rFonts w:ascii="Calibri" w:cs="Calibri" w:eastAsia="Calibri" w:hAnsi="Calibri"/>
                <w:b/>
                <w:bCs/>
                <w:color w:val="FFFFFF"/>
                <w:sz w:val="20"/>
                <w:szCs w:val="20"/>
              </w:rPr>
              <w:t xml:space="preserve">Technology Choice</w:t>
            </w:r>
          </w:p>
        </w:tc>
        <w:tc>
          <w:tcPr>
            <w:tcBorders>
              <w:top w:val="single" w:color="CBD5E1" w:sz="1"/>
              <w:left w:val="single" w:color="CBD5E1" w:sz="1"/>
              <w:bottom w:val="single" w:color="CBD5E1" w:sz="1"/>
              <w:right w:val="single" w:color="CBD5E1" w:sz="1"/>
            </w:tcBorders>
            <w:shd w:fill="1A3557" w:val="clear"/>
            <w:tcMar>
              <w:top w:type="dxa" w:w="80"/>
              <w:left w:type="dxa" w:w="140"/>
              <w:bottom w:type="dxa" w:w="80"/>
              <w:right w:type="dxa" w:w="140"/>
            </w:tcMar>
          </w:tcPr>
          <w:p>
            <w:r>
              <w:rPr>
                <w:rFonts w:ascii="Calibri" w:cs="Calibri" w:eastAsia="Calibri" w:hAnsi="Calibri"/>
                <w:b/>
                <w:bCs/>
                <w:color w:val="FFFFFF"/>
                <w:sz w:val="20"/>
                <w:szCs w:val="20"/>
              </w:rPr>
              <w:t xml:space="preserve">Rationale</w:t>
            </w:r>
          </w:p>
        </w:tc>
      </w:tr>
      <w:tr>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b/>
                <w:bCs/>
                <w:color w:val="1A3557"/>
                <w:sz w:val="19"/>
                <w:szCs w:val="19"/>
              </w:rPr>
              <w:t xml:space="preserve">Frontend</w:t>
            </w:r>
          </w:p>
        </w:tc>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color w:val="1E293B"/>
                <w:sz w:val="19"/>
                <w:szCs w:val="19"/>
              </w:rPr>
              <w:t xml:space="preserve">React.js + Tailwind CSS</w:t>
            </w:r>
          </w:p>
        </w:tc>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color w:val="64748B"/>
                <w:sz w:val="19"/>
                <w:szCs w:val="19"/>
              </w:rPr>
              <w:t xml:space="preserve">Component-based UI for responsive web; enables future React Native mobile app with code reuse</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1A3557"/>
                <w:sz w:val="19"/>
                <w:szCs w:val="19"/>
              </w:rPr>
              <w:t xml:space="preserve">Backend API</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1E293B"/>
                <w:sz w:val="19"/>
                <w:szCs w:val="19"/>
              </w:rPr>
              <w:t xml:space="preserve">Node.js + Express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64748B"/>
                <w:sz w:val="19"/>
                <w:szCs w:val="19"/>
              </w:rPr>
              <w:t xml:space="preserve">Non-blocking I/O ideal for real-time location updates and high concurrent connections</w:t>
            </w:r>
          </w:p>
        </w:tc>
      </w:tr>
      <w:tr>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b/>
                <w:bCs/>
                <w:color w:val="1A3557"/>
                <w:sz w:val="19"/>
                <w:szCs w:val="19"/>
              </w:rPr>
              <w:t xml:space="preserve">Database</w:t>
            </w:r>
          </w:p>
        </w:tc>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color w:val="1E293B"/>
                <w:sz w:val="19"/>
                <w:szCs w:val="19"/>
              </w:rPr>
              <w:t xml:space="preserve">PostgreSQL with PostGIS</w:t>
            </w:r>
          </w:p>
        </w:tc>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color w:val="64748B"/>
                <w:sz w:val="19"/>
                <w:szCs w:val="19"/>
              </w:rPr>
              <w:t xml:space="preserve">PostGIS spatial extension enables efficient geospatial queries for route matching</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1A3557"/>
                <w:sz w:val="19"/>
                <w:szCs w:val="19"/>
              </w:rPr>
              <w:t xml:space="preserve">Mapping &amp; Routing</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1E293B"/>
                <w:sz w:val="19"/>
                <w:szCs w:val="19"/>
              </w:rPr>
              <w:t xml:space="preserve">Leaflet + OpenStreetMap + OSRM</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64748B"/>
                <w:sz w:val="19"/>
                <w:szCs w:val="19"/>
              </w:rPr>
              <w:t xml:space="preserve">Open-source stack with no per-query costs; OSRM provides fast route-overlap calculations</w:t>
            </w:r>
          </w:p>
        </w:tc>
      </w:tr>
      <w:tr>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b/>
                <w:bCs/>
                <w:color w:val="1A3557"/>
                <w:sz w:val="19"/>
                <w:szCs w:val="19"/>
              </w:rPr>
              <w:t xml:space="preserve">Real-Time Layer</w:t>
            </w:r>
          </w:p>
        </w:tc>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color w:val="1E293B"/>
                <w:sz w:val="19"/>
                <w:szCs w:val="19"/>
              </w:rPr>
              <w:t xml:space="preserve">WebSockets (Socket.io)</w:t>
            </w:r>
          </w:p>
        </w:tc>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color w:val="64748B"/>
                <w:sz w:val="19"/>
                <w:szCs w:val="19"/>
              </w:rPr>
              <w:t xml:space="preserve">Persistent connections for live GPS updates and instant notification delivery</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1A3557"/>
                <w:sz w:val="19"/>
                <w:szCs w:val="19"/>
              </w:rPr>
              <w:t xml:space="preserve">Authentication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1E293B"/>
                <w:sz w:val="19"/>
                <w:szCs w:val="19"/>
              </w:rPr>
              <w:t xml:space="preserve">JWT + OAuth 2.0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64748B"/>
                <w:sz w:val="19"/>
                <w:szCs w:val="19"/>
              </w:rPr>
              <w:t xml:space="preserve">Stateless auth for API; OAuth for social login to reduce friction for drivers</w:t>
            </w:r>
          </w:p>
        </w:tc>
      </w:tr>
      <w:tr>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b/>
                <w:bCs/>
                <w:color w:val="1A3557"/>
                <w:sz w:val="19"/>
                <w:szCs w:val="19"/>
              </w:rPr>
              <w:t xml:space="preserve">Payments</w:t>
            </w:r>
          </w:p>
        </w:tc>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color w:val="1E293B"/>
                <w:sz w:val="19"/>
                <w:szCs w:val="19"/>
              </w:rPr>
              <w:t xml:space="preserve">Razorpay / PayU</w:t>
            </w:r>
          </w:p>
        </w:tc>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color w:val="64748B"/>
                <w:sz w:val="19"/>
                <w:szCs w:val="19"/>
              </w:rPr>
              <w:t xml:space="preserve">Indian payment gateway with UPI, NEFT, and card support</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1A3557"/>
                <w:sz w:val="19"/>
                <w:szCs w:val="19"/>
              </w:rPr>
              <w:t xml:space="preserve">Infrastructure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1E293B"/>
                <w:sz w:val="19"/>
                <w:szCs w:val="19"/>
              </w:rPr>
              <w:t xml:space="preserve">AWS / DigitalOcean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64748B"/>
                <w:sz w:val="19"/>
                <w:szCs w:val="19"/>
              </w:rPr>
              <w:t xml:space="preserve">Scalable cloud hosting with CDN for static assets; S3-compatible storage for documents</w:t>
            </w:r>
          </w:p>
        </w:tc>
      </w:tr>
    </w:tbl>
    <w:p>
      <w:pPr>
        <w:spacing w:before="0" w:after="100"/>
      </w:pPr>
      <w:r>
        <w:t xml:space="preserve"/>
      </w:r>
    </w:p>
    <w:p>
      <w:pPr>
        <w:pStyle w:val="Heading2"/>
        <w:spacing w:before="280" w:after="100"/>
      </w:pPr>
      <w:r>
        <w:rPr>
          <w:rFonts w:ascii="Calibri" w:cs="Calibri" w:eastAsia="Calibri" w:hAnsi="Calibri"/>
          <w:b/>
          <w:bCs/>
          <w:color w:val="1A3557"/>
          <w:sz w:val="26"/>
          <w:szCs w:val="26"/>
        </w:rPr>
        <w:t xml:space="preserve">5.2  Route Matching Algorithm</w:t>
      </w:r>
    </w:p>
    <w:p>
      <w:pPr>
        <w:spacing w:before="80" w:after="100"/>
      </w:pPr>
      <w:r>
        <w:rPr>
          <w:rFonts w:ascii="Calibri" w:cs="Calibri" w:eastAsia="Calibri" w:hAnsi="Calibri"/>
          <w:color w:val="1E293B"/>
          <w:sz w:val="22"/>
          <w:szCs w:val="22"/>
        </w:rPr>
        <w:t xml:space="preserve">The matching engine is the technical heart of the platform. At a high level, the process is:</w:t>
      </w:r>
    </w:p>
    <w:p>
      <w:pPr>
        <w:spacing w:before="0" w:after="60"/>
      </w:pPr>
      <w:r>
        <w:t xml:space="preserve"/>
      </w:r>
    </w:p>
    <w:p>
      <w:pPr>
        <w:pStyle w:val="ListParagraph"/>
        <w:numPr>
          <w:ilvl w:val="0"/>
          <w:numId w:val="2"/>
        </w:numPr>
        <w:spacing w:before="60" w:after="60"/>
      </w:pPr>
      <w:r>
        <w:rPr>
          <w:rFonts w:ascii="Calibri" w:cs="Calibri" w:eastAsia="Calibri" w:hAnsi="Calibri"/>
          <w:b w:val="false"/>
          <w:bCs w:val="false"/>
          <w:color w:val="1E293B"/>
          <w:sz w:val="22"/>
          <w:szCs w:val="22"/>
        </w:rPr>
        <w:t xml:space="preserve">Driver's return route is computed as a polyline between current location and home destination using OSRM.</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Each active shipment's pickup point is checked for proximity to any point on the driver's route polyline (configurable buffer, default 50 km).</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Shipments whose pickup is within buffer AND whose delivery does not require excessive detour are scored and ranked.</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Ranking factors: detour distance added, offered price, cargo weight vs truck capacity utilisation, driver rating of shipper.</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Top matches are pushed to the driver via WebSocket notification and displayed in the Return Load Finder.</w:t>
      </w:r>
    </w:p>
    <w:p>
      <w:pPr>
        <w:spacing w:before="0" w:after="120"/>
      </w:pPr>
      <w:r>
        <w:t xml:space="preserve"/>
      </w:r>
    </w:p>
    <w:p>
      <w:pPr>
        <w:pStyle w:val="Heading1"/>
        <w:pBdr>
          <w:bottom w:val="single" w:color="E8601C" w:sz="8" w:space="4"/>
        </w:pBdr>
        <w:spacing w:before="360" w:after="160"/>
      </w:pPr>
      <w:r>
        <w:rPr>
          <w:rFonts w:ascii="Calibri" w:cs="Calibri" w:eastAsia="Calibri" w:hAnsi="Calibri"/>
          <w:b/>
          <w:bCs/>
          <w:color w:val="1A3557"/>
          <w:sz w:val="32"/>
          <w:szCs w:val="32"/>
        </w:rPr>
        <w:t xml:space="preserve">6. Business Model</w:t>
      </w:r>
    </w:p>
    <w:p>
      <w:pPr>
        <w:pStyle w:val="Heading2"/>
        <w:spacing w:before="280" w:after="100"/>
      </w:pPr>
      <w:r>
        <w:rPr>
          <w:rFonts w:ascii="Calibri" w:cs="Calibri" w:eastAsia="Calibri" w:hAnsi="Calibri"/>
          <w:b/>
          <w:bCs/>
          <w:color w:val="1A3557"/>
          <w:sz w:val="26"/>
          <w:szCs w:val="26"/>
        </w:rPr>
        <w:t xml:space="preserve">6.1  Revenue Streams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560"/>
      </w:tblGrid>
      <w:tr>
        <w:tc>
          <w:tcPr>
            <w:tcBorders>
              <w:top w:val="single" w:color="CBD5E1" w:sz="1"/>
              <w:left w:val="single" w:color="CBD5E1" w:sz="1"/>
              <w:bottom w:val="single" w:color="CBD5E1" w:sz="1"/>
              <w:right w:val="single" w:color="CBD5E1" w:sz="1"/>
            </w:tcBorders>
            <w:shd w:fill="1A3557" w:val="clear"/>
            <w:tcMar>
              <w:top w:type="dxa" w:w="80"/>
              <w:left w:type="dxa" w:w="140"/>
              <w:bottom w:type="dxa" w:w="80"/>
              <w:right w:type="dxa" w:w="140"/>
            </w:tcMar>
          </w:tcPr>
          <w:p>
            <w:r>
              <w:rPr>
                <w:rFonts w:ascii="Calibri" w:cs="Calibri" w:eastAsia="Calibri" w:hAnsi="Calibri"/>
                <w:b/>
                <w:bCs/>
                <w:color w:val="FFFFFF"/>
                <w:sz w:val="20"/>
                <w:szCs w:val="20"/>
              </w:rPr>
              <w:t xml:space="preserve">Revenue Stream</w:t>
            </w:r>
          </w:p>
        </w:tc>
        <w:tc>
          <w:tcPr>
            <w:tcBorders>
              <w:top w:val="single" w:color="CBD5E1" w:sz="1"/>
              <w:left w:val="single" w:color="CBD5E1" w:sz="1"/>
              <w:bottom w:val="single" w:color="CBD5E1" w:sz="1"/>
              <w:right w:val="single" w:color="CBD5E1" w:sz="1"/>
            </w:tcBorders>
            <w:shd w:fill="1A3557" w:val="clear"/>
            <w:tcMar>
              <w:top w:type="dxa" w:w="80"/>
              <w:left w:type="dxa" w:w="140"/>
              <w:bottom w:type="dxa" w:w="80"/>
              <w:right w:type="dxa" w:w="140"/>
            </w:tcMar>
          </w:tcPr>
          <w:p>
            <w:r>
              <w:rPr>
                <w:rFonts w:ascii="Calibri" w:cs="Calibri" w:eastAsia="Calibri" w:hAnsi="Calibri"/>
                <w:b/>
                <w:bCs/>
                <w:color w:val="FFFFFF"/>
                <w:sz w:val="20"/>
                <w:szCs w:val="20"/>
              </w:rPr>
              <w:t xml:space="preserve">Indicative Rate</w:t>
            </w:r>
          </w:p>
        </w:tc>
        <w:tc>
          <w:tcPr>
            <w:tcBorders>
              <w:top w:val="single" w:color="CBD5E1" w:sz="1"/>
              <w:left w:val="single" w:color="CBD5E1" w:sz="1"/>
              <w:bottom w:val="single" w:color="CBD5E1" w:sz="1"/>
              <w:right w:val="single" w:color="CBD5E1" w:sz="1"/>
            </w:tcBorders>
            <w:shd w:fill="1A3557"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b/>
                <w:bCs/>
                <w:color w:val="1A3557"/>
                <w:sz w:val="19"/>
                <w:szCs w:val="19"/>
              </w:rPr>
              <w:t xml:space="preserve">Transaction Commission</w:t>
            </w:r>
          </w:p>
        </w:tc>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b/>
                <w:bCs/>
                <w:color w:val="E8601C"/>
                <w:sz w:val="19"/>
                <w:szCs w:val="19"/>
              </w:rPr>
              <w:t xml:space="preserve">3–5% of booking value</w:t>
            </w:r>
          </w:p>
        </w:tc>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color w:val="1E293B"/>
                <w:sz w:val="19"/>
                <w:szCs w:val="19"/>
              </w:rPr>
              <w:t xml:space="preserve">Charged to the load provider on every confirmed booking. Low enough to undercut broker rates, high enough for margin.</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1A3557"/>
                <w:sz w:val="19"/>
                <w:szCs w:val="19"/>
              </w:rPr>
              <w:t xml:space="preserve">Driver Subscription (Pro)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E8601C"/>
                <w:sz w:val="19"/>
                <w:szCs w:val="19"/>
              </w:rPr>
              <w:t xml:space="preserve">₹299–₹599/month</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1E293B"/>
                <w:sz w:val="19"/>
                <w:szCs w:val="19"/>
              </w:rPr>
              <w:t xml:space="preserve">Priority placement in matching results, advanced analytics, bulk document storage, dedicated support.</w:t>
            </w:r>
          </w:p>
        </w:tc>
      </w:tr>
      <w:tr>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b/>
                <w:bCs/>
                <w:color w:val="1A3557"/>
                <w:sz w:val="19"/>
                <w:szCs w:val="19"/>
              </w:rPr>
              <w:t xml:space="preserve">Shipper Subscription (Business)</w:t>
            </w:r>
          </w:p>
        </w:tc>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b/>
                <w:bCs/>
                <w:color w:val="E8601C"/>
                <w:sz w:val="19"/>
                <w:szCs w:val="19"/>
              </w:rPr>
              <w:t xml:space="preserve">₹999–₹2,999/month</w:t>
            </w:r>
          </w:p>
        </w:tc>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color w:val="1E293B"/>
                <w:sz w:val="19"/>
                <w:szCs w:val="19"/>
              </w:rPr>
              <w:t xml:space="preserve">Unlimited load postings, API access for TMS integration, verified shipper badge, reporting dashboard.</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1A3557"/>
                <w:sz w:val="19"/>
                <w:szCs w:val="19"/>
              </w:rPr>
              <w:t xml:space="preserve">Priority Load Listings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E8601C"/>
                <w:sz w:val="19"/>
                <w:szCs w:val="19"/>
              </w:rPr>
              <w:t xml:space="preserve">₹199–₹499 per listing</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1E293B"/>
                <w:sz w:val="19"/>
                <w:szCs w:val="19"/>
              </w:rPr>
              <w:t xml:space="preserve">Shippers pay to highlight urgent or premium shipments, surfacing them first to available drivers.</w:t>
            </w:r>
          </w:p>
        </w:tc>
      </w:tr>
      <w:tr>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b/>
                <w:bCs/>
                <w:color w:val="1A3557"/>
                <w:sz w:val="19"/>
                <w:szCs w:val="19"/>
              </w:rPr>
              <w:t xml:space="preserve">Data &amp; Analytics (Future)</w:t>
            </w:r>
          </w:p>
        </w:tc>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b/>
                <w:bCs/>
                <w:color w:val="E8601C"/>
                <w:sz w:val="19"/>
                <w:szCs w:val="19"/>
              </w:rPr>
              <w:t xml:space="preserve">Custom pricing</w:t>
            </w:r>
          </w:p>
        </w:tc>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color w:val="1E293B"/>
                <w:sz w:val="19"/>
                <w:szCs w:val="19"/>
              </w:rPr>
              <w:t xml:space="preserve">Aggregated lane-level freight demand data sold to logistics companies, insurers, and government planners.</w:t>
            </w:r>
          </w:p>
        </w:tc>
      </w:tr>
    </w:tbl>
    <w:p>
      <w:pPr>
        <w:spacing w:before="0" w:after="100"/>
      </w:pPr>
      <w:r>
        <w:t xml:space="preserve"/>
      </w:r>
    </w:p>
    <w:p>
      <w:pPr>
        <w:pStyle w:val="Heading2"/>
        <w:spacing w:before="280" w:after="100"/>
      </w:pPr>
      <w:r>
        <w:rPr>
          <w:rFonts w:ascii="Calibri" w:cs="Calibri" w:eastAsia="Calibri" w:hAnsi="Calibri"/>
          <w:b/>
          <w:bCs/>
          <w:color w:val="1A3557"/>
          <w:sz w:val="26"/>
          <w:szCs w:val="26"/>
        </w:rPr>
        <w:t xml:space="preserve">6.2  Go-To-Market Strategy</w:t>
      </w:r>
    </w:p>
    <w:p>
      <w:pPr>
        <w:spacing w:before="80" w:after="100"/>
      </w:pPr>
      <w:r>
        <w:rPr>
          <w:rFonts w:ascii="Calibri" w:cs="Calibri" w:eastAsia="Calibri" w:hAnsi="Calibri"/>
          <w:color w:val="1E293B"/>
          <w:sz w:val="22"/>
          <w:szCs w:val="22"/>
        </w:rPr>
        <w:t xml:space="preserve">Phase 1 — Seed corridors (Months 1–6): Launch on 3–5 high-density freight corridors (e.g., Kerala–Tamil Nadu, Delhi–Rajasthan, Mumbai–Pune). Recruit truck operators through transport associations and truck stop outreach. Onboard anchor shippers via direct BD.</w:t>
      </w:r>
    </w:p>
    <w:p>
      <w:pPr>
        <w:spacing w:before="0" w:after="60"/>
      </w:pPr>
      <w:r>
        <w:t xml:space="preserve"/>
      </w:r>
    </w:p>
    <w:p>
      <w:pPr>
        <w:spacing w:before="80" w:after="100"/>
      </w:pPr>
      <w:r>
        <w:rPr>
          <w:rFonts w:ascii="Calibri" w:cs="Calibri" w:eastAsia="Calibri" w:hAnsi="Calibri"/>
          <w:color w:val="1E293B"/>
          <w:sz w:val="22"/>
          <w:szCs w:val="22"/>
        </w:rPr>
        <w:t xml:space="preserve">Phase 2 — Network expansion (Months 7–18): Leverage successful corridor data and driver referrals to expand route coverage. Launch Android app for drivers. Pursue partnerships with state truck operators' unions.</w:t>
      </w:r>
    </w:p>
    <w:p>
      <w:pPr>
        <w:spacing w:before="0" w:after="60"/>
      </w:pPr>
      <w:r>
        <w:t xml:space="preserve"/>
      </w:r>
    </w:p>
    <w:p>
      <w:pPr>
        <w:spacing w:before="80" w:after="100"/>
      </w:pPr>
      <w:r>
        <w:rPr>
          <w:rFonts w:ascii="Calibri" w:cs="Calibri" w:eastAsia="Calibri" w:hAnsi="Calibri"/>
          <w:color w:val="1E293B"/>
          <w:sz w:val="22"/>
          <w:szCs w:val="22"/>
        </w:rPr>
        <w:t xml:space="preserve">Phase 3 — Platform deepening (Months 19–36): Introduce AI-based pricing recommendations, demand forecasting, and integration APIs for logistics companies' TMS systems. Explore ONDC (Open Network for Digital Commerce) integration for freight.</w:t>
      </w:r>
    </w:p>
    <w:p>
      <w:pPr>
        <w:spacing w:before="0" w:after="120"/>
      </w:pPr>
      <w:r>
        <w:t xml:space="preserve"/>
      </w:r>
    </w:p>
    <w:p>
      <w:pPr>
        <w:pStyle w:val="Heading1"/>
        <w:pBdr>
          <w:bottom w:val="single" w:color="E8601C" w:sz="8" w:space="4"/>
        </w:pBdr>
        <w:spacing w:before="360" w:after="160"/>
      </w:pPr>
      <w:r>
        <w:rPr>
          <w:rFonts w:ascii="Calibri" w:cs="Calibri" w:eastAsia="Calibri" w:hAnsi="Calibri"/>
          <w:b/>
          <w:bCs/>
          <w:color w:val="1A3557"/>
          <w:sz w:val="32"/>
          <w:szCs w:val="32"/>
        </w:rPr>
        <w:t xml:space="preserve">7. Value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Calibri" w:cs="Calibri" w:eastAsia="Calibri" w:hAnsi="Calibri"/>
                <w:b/>
                <w:bCs/>
                <w:color w:val="FFFFFF"/>
                <w:sz w:val="22"/>
                <w:szCs w:val="22"/>
              </w:rPr>
              <w:t xml:space="preserve">Stakeholder</w:t>
            </w:r>
          </w:p>
        </w:tc>
        <w:tc>
          <w:tcPr>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Calibri" w:cs="Calibri" w:eastAsia="Calibri" w:hAnsi="Calibri"/>
                <w:b/>
                <w:bCs/>
                <w:color w:val="FFFFFF"/>
                <w:sz w:val="22"/>
                <w:szCs w:val="22"/>
              </w:rPr>
              <w:t xml:space="preserve">Key Benefits</w:t>
            </w:r>
          </w:p>
        </w:tc>
      </w:tr>
      <w:tr>
        <w:tc>
          <w:tcPr>
            <w:tcW w:type="dxa" w:w="2200"/>
            <w:tcBorders>
              <w:top w:val="single" w:color="CBD5E1" w:sz="1"/>
              <w:left w:val="single" w:color="CBD5E1" w:sz="1"/>
              <w:bottom w:val="single" w:color="CBD5E1" w:sz="1"/>
              <w:right w:val="single" w:color="CBD5E1" w:sz="1"/>
            </w:tcBorders>
            <w:shd w:fill="EEF3F9" w:val="clear"/>
            <w:tcMar>
              <w:top w:type="dxa" w:w="100"/>
              <w:left w:type="dxa" w:w="160"/>
              <w:bottom w:type="dxa" w:w="100"/>
              <w:right w:type="dxa" w:w="160"/>
            </w:tcMar>
          </w:tcPr>
          <w:p>
            <w:r>
              <w:rPr>
                <w:rFonts w:ascii="Calibri" w:cs="Calibri" w:eastAsia="Calibri" w:hAnsi="Calibri"/>
                <w:b/>
                <w:bCs/>
                <w:color w:val="1A3557"/>
                <w:sz w:val="21"/>
                <w:szCs w:val="21"/>
              </w:rPr>
              <w:t xml:space="preserve">Truck Operators</w:t>
            </w:r>
          </w:p>
        </w:tc>
        <w:tc>
          <w:tcPr>
            <w:tcW w:type="dxa" w:w="7160"/>
            <w:tcBorders>
              <w:top w:val="single" w:color="CBD5E1" w:sz="1"/>
              <w:left w:val="single" w:color="CBD5E1" w:sz="1"/>
              <w:bottom w:val="single" w:color="CBD5E1" w:sz="1"/>
              <w:right w:val="single" w:color="CBD5E1" w:sz="1"/>
            </w:tcBorders>
            <w:shd w:fill="EEF3F9" w:val="clear"/>
            <w:tcMar>
              <w:top w:type="dxa" w:w="100"/>
              <w:left w:type="dxa" w:w="160"/>
              <w:bottom w:type="dxa" w:w="100"/>
              <w:right w:type="dxa" w:w="160"/>
            </w:tcMar>
          </w:tcPr>
          <w:p>
            <w:r>
              <w:rPr>
                <w:rFonts w:ascii="Calibri" w:cs="Calibri" w:eastAsia="Calibri" w:hAnsi="Calibri"/>
                <w:color w:val="1E293B"/>
                <w:sz w:val="21"/>
                <w:szCs w:val="21"/>
              </w:rPr>
              <w:t xml:space="preserve">Reduced empty trips; increased revenue per route; access to loads outside home network; digital earnings record for credit access; lower dependence on middlemen brokers.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b/>
                <w:bCs/>
                <w:color w:val="1A3557"/>
                <w:sz w:val="21"/>
                <w:szCs w:val="21"/>
              </w:rPr>
              <w:t xml:space="preserve">Load Providers / Shippers</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On-demand access to verified trucks in any geography; real-time shipment visibility; competitive, transparent pricing; reduced logistics cost vs. traditional brokers.</w:t>
            </w:r>
          </w:p>
        </w:tc>
      </w:tr>
      <w:tr>
        <w:tc>
          <w:tcPr>
            <w:tcW w:type="dxa" w:w="2200"/>
            <w:tcBorders>
              <w:top w:val="single" w:color="CBD5E1" w:sz="1"/>
              <w:left w:val="single" w:color="CBD5E1" w:sz="1"/>
              <w:bottom w:val="single" w:color="CBD5E1" w:sz="1"/>
              <w:right w:val="single" w:color="CBD5E1" w:sz="1"/>
            </w:tcBorders>
            <w:shd w:fill="EEF3F9" w:val="clear"/>
            <w:tcMar>
              <w:top w:type="dxa" w:w="100"/>
              <w:left w:type="dxa" w:w="160"/>
              <w:bottom w:type="dxa" w:w="100"/>
              <w:right w:type="dxa" w:w="160"/>
            </w:tcMar>
          </w:tcPr>
          <w:p>
            <w:r>
              <w:rPr>
                <w:rFonts w:ascii="Calibri" w:cs="Calibri" w:eastAsia="Calibri" w:hAnsi="Calibri"/>
                <w:b/>
                <w:bCs/>
                <w:color w:val="1A3557"/>
                <w:sz w:val="21"/>
                <w:szCs w:val="21"/>
              </w:rPr>
              <w:t xml:space="preserve">Owner-Operators</w:t>
            </w:r>
          </w:p>
        </w:tc>
        <w:tc>
          <w:tcPr>
            <w:tcW w:type="dxa" w:w="7160"/>
            <w:tcBorders>
              <w:top w:val="single" w:color="CBD5E1" w:sz="1"/>
              <w:left w:val="single" w:color="CBD5E1" w:sz="1"/>
              <w:bottom w:val="single" w:color="CBD5E1" w:sz="1"/>
              <w:right w:val="single" w:color="CBD5E1" w:sz="1"/>
            </w:tcBorders>
            <w:shd w:fill="EEF3F9" w:val="clear"/>
            <w:tcMar>
              <w:top w:type="dxa" w:w="100"/>
              <w:left w:type="dxa" w:w="160"/>
              <w:bottom w:type="dxa" w:w="100"/>
              <w:right w:type="dxa" w:w="160"/>
            </w:tcMar>
          </w:tcPr>
          <w:p>
            <w:r>
              <w:rPr>
                <w:rFonts w:ascii="Calibri" w:cs="Calibri" w:eastAsia="Calibri" w:hAnsi="Calibri"/>
                <w:color w:val="1E293B"/>
                <w:sz w:val="21"/>
                <w:szCs w:val="21"/>
              </w:rPr>
              <w:t xml:space="preserve">Increased asset utilisation; improved profitability; digital proof of business for formal financing and insurance products.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b/>
                <w:bCs/>
                <w:color w:val="1A3557"/>
                <w:sz w:val="21"/>
                <w:szCs w:val="21"/>
              </w:rPr>
              <w:t xml:space="preserve">Logistics Ecosystem</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Reduced fuel wastage and carbon emissions; better utilisation of existing truck fleet; aggregated demand data for infrastructure and policy planning.</w:t>
            </w:r>
          </w:p>
        </w:tc>
      </w:tr>
      <w:tr>
        <w:tc>
          <w:tcPr>
            <w:tcW w:type="dxa" w:w="2200"/>
            <w:tcBorders>
              <w:top w:val="single" w:color="CBD5E1" w:sz="1"/>
              <w:left w:val="single" w:color="CBD5E1" w:sz="1"/>
              <w:bottom w:val="single" w:color="CBD5E1" w:sz="1"/>
              <w:right w:val="single" w:color="CBD5E1" w:sz="1"/>
            </w:tcBorders>
            <w:shd w:fill="EEF3F9" w:val="clear"/>
            <w:tcMar>
              <w:top w:type="dxa" w:w="100"/>
              <w:left w:type="dxa" w:w="160"/>
              <w:bottom w:type="dxa" w:w="100"/>
              <w:right w:type="dxa" w:w="160"/>
            </w:tcMar>
          </w:tcPr>
          <w:p>
            <w:r>
              <w:rPr>
                <w:rFonts w:ascii="Calibri" w:cs="Calibri" w:eastAsia="Calibri" w:hAnsi="Calibri"/>
                <w:b/>
                <w:bCs/>
                <w:color w:val="1A3557"/>
                <w:sz w:val="21"/>
                <w:szCs w:val="21"/>
              </w:rPr>
              <w:t xml:space="preserve">Indian Economy</w:t>
            </w:r>
          </w:p>
        </w:tc>
        <w:tc>
          <w:tcPr>
            <w:tcW w:type="dxa" w:w="7160"/>
            <w:tcBorders>
              <w:top w:val="single" w:color="CBD5E1" w:sz="1"/>
              <w:left w:val="single" w:color="CBD5E1" w:sz="1"/>
              <w:bottom w:val="single" w:color="CBD5E1" w:sz="1"/>
              <w:right w:val="single" w:color="CBD5E1" w:sz="1"/>
            </w:tcBorders>
            <w:shd w:fill="EEF3F9" w:val="clear"/>
            <w:tcMar>
              <w:top w:type="dxa" w:w="100"/>
              <w:left w:type="dxa" w:w="160"/>
              <w:bottom w:type="dxa" w:w="100"/>
              <w:right w:type="dxa" w:w="160"/>
            </w:tcMar>
          </w:tcPr>
          <w:p>
            <w:r>
              <w:rPr>
                <w:rFonts w:ascii="Calibri" w:cs="Calibri" w:eastAsia="Calibri" w:hAnsi="Calibri"/>
                <w:color w:val="1E293B"/>
                <w:sz w:val="21"/>
                <w:szCs w:val="21"/>
              </w:rPr>
              <w:t xml:space="preserve">Lower cost of goods transportation reduces input costs across manufacturing and agriculture; formalisation of informal freight market enables better taxation and regulation.</w:t>
            </w:r>
          </w:p>
        </w:tc>
      </w:tr>
    </w:tbl>
    <w:p>
      <w:pPr>
        <w:spacing w:before="0" w:after="120"/>
      </w:pPr>
      <w:r>
        <w:t xml:space="preserve"/>
      </w:r>
    </w:p>
    <w:p>
      <w:pPr>
        <w:pStyle w:val="Heading1"/>
        <w:pBdr>
          <w:bottom w:val="single" w:color="E8601C" w:sz="8" w:space="4"/>
        </w:pBdr>
        <w:spacing w:before="360" w:after="160"/>
      </w:pPr>
      <w:r>
        <w:rPr>
          <w:rFonts w:ascii="Calibri" w:cs="Calibri" w:eastAsia="Calibri" w:hAnsi="Calibri"/>
          <w:b/>
          <w:bCs/>
          <w:color w:val="1A3557"/>
          <w:sz w:val="32"/>
          <w:szCs w:val="32"/>
        </w:rPr>
        <w:t xml:space="preserve">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460"/>
      </w:tblGrid>
      <w:tr>
        <w:tc>
          <w:tcPr>
            <w:tcBorders>
              <w:top w:val="single" w:color="CBD5E1" w:sz="1"/>
              <w:left w:val="single" w:color="CBD5E1" w:sz="1"/>
              <w:bottom w:val="single" w:color="CBD5E1" w:sz="1"/>
              <w:right w:val="single" w:color="CBD5E1" w:sz="1"/>
            </w:tcBorders>
            <w:shd w:fill="1A3557" w:val="clear"/>
            <w:tcMar>
              <w:top w:type="dxa" w:w="80"/>
              <w:left w:type="dxa" w:w="140"/>
              <w:bottom w:type="dxa" w:w="80"/>
              <w:right w:type="dxa" w:w="140"/>
            </w:tcMar>
          </w:tcPr>
          <w:p>
            <w:r>
              <w:rPr>
                <w:rFonts w:ascii="Calibri" w:cs="Calibri" w:eastAsia="Calibri" w:hAnsi="Calibri"/>
                <w:b/>
                <w:bCs/>
                <w:color w:val="FFFFFF"/>
                <w:sz w:val="20"/>
                <w:szCs w:val="20"/>
              </w:rPr>
              <w:t xml:space="preserve">Risk</w:t>
            </w:r>
          </w:p>
        </w:tc>
        <w:tc>
          <w:tcPr>
            <w:tcBorders>
              <w:top w:val="single" w:color="CBD5E1" w:sz="1"/>
              <w:left w:val="single" w:color="CBD5E1" w:sz="1"/>
              <w:bottom w:val="single" w:color="CBD5E1" w:sz="1"/>
              <w:right w:val="single" w:color="CBD5E1" w:sz="1"/>
            </w:tcBorders>
            <w:shd w:fill="1A3557" w:val="clear"/>
            <w:tcMar>
              <w:top w:type="dxa" w:w="80"/>
              <w:left w:type="dxa" w:w="140"/>
              <w:bottom w:type="dxa" w:w="80"/>
              <w:right w:type="dxa" w:w="140"/>
            </w:tcMar>
          </w:tcPr>
          <w:p>
            <w:r>
              <w:rPr>
                <w:rFonts w:ascii="Calibri" w:cs="Calibri" w:eastAsia="Calibri" w:hAnsi="Calibri"/>
                <w:b/>
                <w:bCs/>
                <w:color w:val="FFFFFF"/>
                <w:sz w:val="20"/>
                <w:szCs w:val="20"/>
              </w:rPr>
              <w:t xml:space="preserve">Likelihood / Impact</w:t>
            </w:r>
          </w:p>
        </w:tc>
        <w:tc>
          <w:tcPr>
            <w:tcBorders>
              <w:top w:val="single" w:color="CBD5E1" w:sz="1"/>
              <w:left w:val="single" w:color="CBD5E1" w:sz="1"/>
              <w:bottom w:val="single" w:color="CBD5E1" w:sz="1"/>
              <w:right w:val="single" w:color="CBD5E1" w:sz="1"/>
            </w:tcBorders>
            <w:shd w:fill="1A3557" w:val="clear"/>
            <w:tcMar>
              <w:top w:type="dxa" w:w="80"/>
              <w:left w:type="dxa" w:w="140"/>
              <w:bottom w:type="dxa" w:w="80"/>
              <w:right w:type="dxa" w:w="140"/>
            </w:tcMar>
          </w:tcPr>
          <w:p>
            <w:r>
              <w:rPr>
                <w:rFonts w:ascii="Calibri" w:cs="Calibri" w:eastAsia="Calibri" w:hAnsi="Calibri"/>
                <w:b/>
                <w:bCs/>
                <w:color w:val="FFFFFF"/>
                <w:sz w:val="20"/>
                <w:szCs w:val="20"/>
              </w:rPr>
              <w:t xml:space="preserve">Mitigation</w:t>
            </w:r>
          </w:p>
        </w:tc>
      </w:tr>
      <w:tr>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b/>
                <w:bCs/>
                <w:color w:val="1A3557"/>
                <w:sz w:val="19"/>
                <w:szCs w:val="19"/>
              </w:rPr>
              <w:t xml:space="preserve">Cold-start / thin marketplace</w:t>
            </w:r>
          </w:p>
        </w:tc>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color w:val="E8601C"/>
                <w:sz w:val="19"/>
                <w:szCs w:val="19"/>
              </w:rPr>
              <w:t xml:space="preserve">High / High</w:t>
            </w:r>
          </w:p>
        </w:tc>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color w:val="1E293B"/>
                <w:sz w:val="19"/>
                <w:szCs w:val="19"/>
              </w:rPr>
              <w:t xml:space="preserve">Seed with guaranteed anchor shippers on launch corridors; subsidise early driver sign-ups with referral incentives.</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1A3557"/>
                <w:sz w:val="19"/>
                <w:szCs w:val="19"/>
              </w:rPr>
              <w:t xml:space="preserve">Driver digital literacy gap</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E8601C"/>
                <w:sz w:val="19"/>
                <w:szCs w:val="19"/>
              </w:rPr>
              <w:t xml:space="preserve">High / Medium</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1E293B"/>
                <w:sz w:val="19"/>
                <w:szCs w:val="19"/>
              </w:rPr>
              <w:t xml:space="preserve">Design for minimal-text UI; on-board via voice-based IVR and WhatsApp bot; provide in-person support at truck stops.</w:t>
            </w:r>
          </w:p>
        </w:tc>
      </w:tr>
      <w:tr>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b/>
                <w:bCs/>
                <w:color w:val="1A3557"/>
                <w:sz w:val="19"/>
                <w:szCs w:val="19"/>
              </w:rPr>
              <w:t xml:space="preserve">Broker resistance / incumbent hostility</w:t>
            </w:r>
          </w:p>
        </w:tc>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color w:val="E8601C"/>
                <w:sz w:val="19"/>
                <w:szCs w:val="19"/>
              </w:rPr>
              <w:t xml:space="preserve">Medium / Medium</w:t>
            </w:r>
          </w:p>
        </w:tc>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color w:val="1E293B"/>
                <w:sz w:val="19"/>
                <w:szCs w:val="19"/>
              </w:rPr>
              <w:t xml:space="preserve">Position platform as broker-friendly in early phase; offer brokers a digital dashboard to manage their existing fleet.</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1A3557"/>
                <w:sz w:val="19"/>
                <w:szCs w:val="19"/>
              </w:rPr>
              <w:t xml:space="preserve">Cargo damage or dispute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E8601C"/>
                <w:sz w:val="19"/>
                <w:szCs w:val="19"/>
              </w:rPr>
              <w:t xml:space="preserve">Medium / High</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1E293B"/>
                <w:sz w:val="19"/>
                <w:szCs w:val="19"/>
              </w:rPr>
              <w:t xml:space="preserve">Require shipper-side cargo declaration and photo evidence at pickup; offer optional cargo insurance integration.</w:t>
            </w:r>
          </w:p>
        </w:tc>
      </w:tr>
      <w:tr>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b/>
                <w:bCs/>
                <w:color w:val="1A3557"/>
                <w:sz w:val="19"/>
                <w:szCs w:val="19"/>
              </w:rPr>
              <w:t xml:space="preserve">Data privacy (driver location)</w:t>
            </w:r>
          </w:p>
        </w:tc>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color w:val="E8601C"/>
                <w:sz w:val="19"/>
                <w:szCs w:val="19"/>
              </w:rPr>
              <w:t xml:space="preserve">Low / High</w:t>
            </w:r>
          </w:p>
        </w:tc>
        <w:tc>
          <w:tcPr>
            <w:tcBorders>
              <w:top w:val="single" w:color="CBD5E1" w:sz="1"/>
              <w:left w:val="single" w:color="CBD5E1" w:sz="1"/>
              <w:bottom w:val="single" w:color="CBD5E1" w:sz="1"/>
              <w:right w:val="single" w:color="CBD5E1" w:sz="1"/>
            </w:tcBorders>
            <w:shd w:fill="EEF3F9" w:val="clear"/>
            <w:tcMar>
              <w:top w:type="dxa" w:w="80"/>
              <w:left w:type="dxa" w:w="140"/>
              <w:bottom w:type="dxa" w:w="80"/>
              <w:right w:type="dxa" w:w="140"/>
            </w:tcMar>
          </w:tcPr>
          <w:p>
            <w:r>
              <w:rPr>
                <w:rFonts w:ascii="Calibri" w:cs="Calibri" w:eastAsia="Calibri" w:hAnsi="Calibri"/>
                <w:color w:val="1E293B"/>
                <w:sz w:val="19"/>
                <w:szCs w:val="19"/>
              </w:rPr>
              <w:t xml:space="preserve">Location data shared only with confirmed booking counter-party; strict data minimisation; DPDP Act compliance from day one.</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1A3557"/>
                <w:sz w:val="19"/>
                <w:szCs w:val="19"/>
              </w:rPr>
              <w:t xml:space="preserve">Competing platforms scaling faster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E8601C"/>
                <w:sz w:val="19"/>
                <w:szCs w:val="19"/>
              </w:rPr>
              <w:t xml:space="preserve">Medium / High</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1E293B"/>
                <w:sz w:val="19"/>
                <w:szCs w:val="19"/>
              </w:rPr>
              <w:t xml:space="preserve">Focus on underserved owner-operator segment; build stronger community features and support than enterprise-focused rivals.</w:t>
            </w:r>
          </w:p>
        </w:tc>
      </w:tr>
    </w:tbl>
    <w:p>
      <w:pPr>
        <w:spacing w:before="0" w:after="120"/>
      </w:pPr>
      <w:r>
        <w:t xml:space="preserve"/>
      </w:r>
    </w:p>
    <w:p>
      <w:pPr>
        <w:pStyle w:val="Heading1"/>
        <w:pBdr>
          <w:bottom w:val="single" w:color="E8601C" w:sz="8" w:space="4"/>
        </w:pBdr>
        <w:spacing w:before="360" w:after="160"/>
      </w:pPr>
      <w:r>
        <w:rPr>
          <w:rFonts w:ascii="Calibri" w:cs="Calibri" w:eastAsia="Calibri" w:hAnsi="Calibri"/>
          <w:b/>
          <w:bCs/>
          <w:color w:val="1A3557"/>
          <w:sz w:val="32"/>
          <w:szCs w:val="32"/>
        </w:rPr>
        <w:t xml:space="preserve">9.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Borders>
              <w:top w:val="single" w:color="CBD5E1" w:sz="1"/>
              <w:left w:val="single" w:color="CBD5E1" w:sz="1"/>
              <w:bottom w:val="single" w:color="CBD5E1" w:sz="1"/>
              <w:right w:val="single" w:color="CBD5E1" w:sz="1"/>
            </w:tcBorders>
            <w:shd w:fill="1A3557" w:val="clear"/>
            <w:tcMar>
              <w:top w:type="dxa" w:w="80"/>
              <w:left w:type="dxa" w:w="140"/>
              <w:bottom w:type="dxa" w:w="80"/>
              <w:right w:type="dxa" w:w="140"/>
            </w:tcMar>
          </w:tcPr>
          <w:p>
            <w:r>
              <w:rPr>
                <w:rFonts w:ascii="Calibri" w:cs="Calibri" w:eastAsia="Calibri" w:hAnsi="Calibri"/>
                <w:b/>
                <w:bCs/>
                <w:color w:val="FFFFFF"/>
                <w:sz w:val="20"/>
                <w:szCs w:val="20"/>
              </w:rPr>
              <w:t xml:space="preserve">Phase</w:t>
            </w:r>
          </w:p>
        </w:tc>
        <w:tc>
          <w:tcPr>
            <w:tcBorders>
              <w:top w:val="single" w:color="CBD5E1" w:sz="1"/>
              <w:left w:val="single" w:color="CBD5E1" w:sz="1"/>
              <w:bottom w:val="single" w:color="CBD5E1" w:sz="1"/>
              <w:right w:val="single" w:color="CBD5E1" w:sz="1"/>
            </w:tcBorders>
            <w:shd w:fill="1A3557" w:val="clear"/>
            <w:tcMar>
              <w:top w:type="dxa" w:w="80"/>
              <w:left w:type="dxa" w:w="140"/>
              <w:bottom w:type="dxa" w:w="80"/>
              <w:right w:type="dxa" w:w="140"/>
            </w:tcMar>
          </w:tcPr>
          <w:p>
            <w:r>
              <w:rPr>
                <w:rFonts w:ascii="Calibri" w:cs="Calibri" w:eastAsia="Calibri" w:hAnsi="Calibri"/>
                <w:b/>
                <w:bCs/>
                <w:color w:val="FFFFFF"/>
                <w:sz w:val="20"/>
                <w:szCs w:val="20"/>
              </w:rPr>
              <w:t xml:space="preserve">Timeline</w:t>
            </w:r>
          </w:p>
        </w:tc>
        <w:tc>
          <w:tcPr>
            <w:tcBorders>
              <w:top w:val="single" w:color="CBD5E1" w:sz="1"/>
              <w:left w:val="single" w:color="CBD5E1" w:sz="1"/>
              <w:bottom w:val="single" w:color="CBD5E1" w:sz="1"/>
              <w:right w:val="single" w:color="CBD5E1" w:sz="1"/>
            </w:tcBorders>
            <w:shd w:fill="1A3557" w:val="clear"/>
            <w:tcMar>
              <w:top w:type="dxa" w:w="80"/>
              <w:left w:type="dxa" w:w="140"/>
              <w:bottom w:type="dxa" w:w="80"/>
              <w:right w:type="dxa" w:w="140"/>
            </w:tcMar>
          </w:tcPr>
          <w:p>
            <w:r>
              <w:rPr>
                <w:rFonts w:ascii="Calibri" w:cs="Calibri" w:eastAsia="Calibri" w:hAnsi="Calibri"/>
                <w:b/>
                <w:bCs/>
                <w:color w:val="FFFFFF"/>
                <w:sz w:val="20"/>
                <w:szCs w:val="20"/>
              </w:rPr>
              <w:t xml:space="preserve">Deliverables</w:t>
            </w:r>
          </w:p>
        </w:tc>
      </w:tr>
      <w:tr>
        <w:tc>
          <w:tcPr>
            <w:tcBorders>
              <w:top w:val="single" w:color="CBD5E1" w:sz="1"/>
              <w:left w:val="single" w:color="CBD5E1" w:sz="1"/>
              <w:bottom w:val="single" w:color="CBD5E1" w:sz="1"/>
              <w:right w:val="single" w:color="CBD5E1" w:sz="1"/>
            </w:tcBorders>
            <w:shd w:fill="EEF3F9" w:val="clear"/>
            <w:tcMar>
              <w:top w:type="dxa" w:w="100"/>
              <w:left w:type="dxa" w:w="140"/>
              <w:bottom w:type="dxa" w:w="100"/>
              <w:right w:type="dxa" w:w="140"/>
            </w:tcMar>
          </w:tcPr>
          <w:p>
            <w:r>
              <w:rPr>
                <w:rFonts w:ascii="Calibri" w:cs="Calibri" w:eastAsia="Calibri" w:hAnsi="Calibri"/>
                <w:b/>
                <w:bCs/>
                <w:color w:val="1A3557"/>
                <w:sz w:val="19"/>
                <w:szCs w:val="19"/>
              </w:rPr>
              <w:t xml:space="preserve">Phase 1
MVP</w:t>
            </w:r>
          </w:p>
        </w:tc>
        <w:tc>
          <w:tcPr>
            <w:tcBorders>
              <w:top w:val="single" w:color="CBD5E1" w:sz="1"/>
              <w:left w:val="single" w:color="CBD5E1" w:sz="1"/>
              <w:bottom w:val="single" w:color="CBD5E1" w:sz="1"/>
              <w:right w:val="single" w:color="CBD5E1" w:sz="1"/>
            </w:tcBorders>
            <w:shd w:fill="EEF3F9" w:val="clear"/>
            <w:tcMar>
              <w:top w:type="dxa" w:w="100"/>
              <w:left w:type="dxa" w:w="140"/>
              <w:bottom w:type="dxa" w:w="100"/>
              <w:right w:type="dxa" w:w="140"/>
            </w:tcMar>
          </w:tcPr>
          <w:p>
            <w:r>
              <w:rPr>
                <w:rFonts w:ascii="Calibri" w:cs="Calibri" w:eastAsia="Calibri" w:hAnsi="Calibri"/>
                <w:b/>
                <w:bCs/>
                <w:color w:val="E8601C"/>
                <w:sz w:val="19"/>
                <w:szCs w:val="19"/>
              </w:rPr>
              <w:t xml:space="preserve">Months 1–4</w:t>
            </w:r>
          </w:p>
        </w:tc>
        <w:tc>
          <w:tcPr>
            <w:tcBorders>
              <w:top w:val="single" w:color="CBD5E1" w:sz="1"/>
              <w:left w:val="single" w:color="CBD5E1" w:sz="1"/>
              <w:bottom w:val="single" w:color="CBD5E1" w:sz="1"/>
              <w:right w:val="single" w:color="CBD5E1" w:sz="1"/>
            </w:tcBorders>
            <w:shd w:fill="EEF3F9" w:val="clear"/>
            <w:tcMar>
              <w:top w:type="dxa" w:w="100"/>
              <w:left w:type="dxa" w:w="140"/>
              <w:bottom w:type="dxa" w:w="100"/>
              <w:right w:type="dxa" w:w="140"/>
            </w:tcMar>
          </w:tcPr>
          <w:p>
            <w:r>
              <w:rPr>
                <w:rFonts w:ascii="Calibri" w:cs="Calibri" w:eastAsia="Calibri" w:hAnsi="Calibri"/>
                <w:color w:val="1E293B"/>
                <w:sz w:val="19"/>
                <w:szCs w:val="19"/>
              </w:rPr>
              <w:t xml:space="preserve">Core web app: driver registration, load posting, basic route match, booking flow, GPS tracking. 3-corridor pilot with 50 drivers and 10 anchor shippers.</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b/>
                <w:bCs/>
                <w:color w:val="1A3557"/>
                <w:sz w:val="19"/>
                <w:szCs w:val="19"/>
              </w:rPr>
              <w:t xml:space="preserve">Phase 2
Growth</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b/>
                <w:bCs/>
                <w:color w:val="E8601C"/>
                <w:sz w:val="19"/>
                <w:szCs w:val="19"/>
              </w:rPr>
              <w:t xml:space="preserve">Months 5–12</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Android driver app; in-app negotiation; rating system; payment gateway integration; expanded to 15 corridors; WhatsApp bot for low-digital drivers.</w:t>
            </w:r>
          </w:p>
        </w:tc>
      </w:tr>
      <w:tr>
        <w:tc>
          <w:tcPr>
            <w:tcBorders>
              <w:top w:val="single" w:color="CBD5E1" w:sz="1"/>
              <w:left w:val="single" w:color="CBD5E1" w:sz="1"/>
              <w:bottom w:val="single" w:color="CBD5E1" w:sz="1"/>
              <w:right w:val="single" w:color="CBD5E1" w:sz="1"/>
            </w:tcBorders>
            <w:shd w:fill="EEF3F9" w:val="clear"/>
            <w:tcMar>
              <w:top w:type="dxa" w:w="100"/>
              <w:left w:type="dxa" w:w="140"/>
              <w:bottom w:type="dxa" w:w="100"/>
              <w:right w:type="dxa" w:w="140"/>
            </w:tcMar>
          </w:tcPr>
          <w:p>
            <w:r>
              <w:rPr>
                <w:rFonts w:ascii="Calibri" w:cs="Calibri" w:eastAsia="Calibri" w:hAnsi="Calibri"/>
                <w:b/>
                <w:bCs/>
                <w:color w:val="1A3557"/>
                <w:sz w:val="19"/>
                <w:szCs w:val="19"/>
              </w:rPr>
              <w:t xml:space="preserve">Phase 3
Scale</w:t>
            </w:r>
          </w:p>
        </w:tc>
        <w:tc>
          <w:tcPr>
            <w:tcBorders>
              <w:top w:val="single" w:color="CBD5E1" w:sz="1"/>
              <w:left w:val="single" w:color="CBD5E1" w:sz="1"/>
              <w:bottom w:val="single" w:color="CBD5E1" w:sz="1"/>
              <w:right w:val="single" w:color="CBD5E1" w:sz="1"/>
            </w:tcBorders>
            <w:shd w:fill="EEF3F9" w:val="clear"/>
            <w:tcMar>
              <w:top w:type="dxa" w:w="100"/>
              <w:left w:type="dxa" w:w="140"/>
              <w:bottom w:type="dxa" w:w="100"/>
              <w:right w:type="dxa" w:w="140"/>
            </w:tcMar>
          </w:tcPr>
          <w:p>
            <w:r>
              <w:rPr>
                <w:rFonts w:ascii="Calibri" w:cs="Calibri" w:eastAsia="Calibri" w:hAnsi="Calibri"/>
                <w:b/>
                <w:bCs/>
                <w:color w:val="E8601C"/>
                <w:sz w:val="19"/>
                <w:szCs w:val="19"/>
              </w:rPr>
              <w:t xml:space="preserve">Months 13–24</w:t>
            </w:r>
          </w:p>
        </w:tc>
        <w:tc>
          <w:tcPr>
            <w:tcBorders>
              <w:top w:val="single" w:color="CBD5E1" w:sz="1"/>
              <w:left w:val="single" w:color="CBD5E1" w:sz="1"/>
              <w:bottom w:val="single" w:color="CBD5E1" w:sz="1"/>
              <w:right w:val="single" w:color="CBD5E1" w:sz="1"/>
            </w:tcBorders>
            <w:shd w:fill="EEF3F9" w:val="clear"/>
            <w:tcMar>
              <w:top w:type="dxa" w:w="100"/>
              <w:left w:type="dxa" w:w="140"/>
              <w:bottom w:type="dxa" w:w="100"/>
              <w:right w:type="dxa" w:w="140"/>
            </w:tcMar>
          </w:tcPr>
          <w:p>
            <w:r>
              <w:rPr>
                <w:rFonts w:ascii="Calibri" w:cs="Calibri" w:eastAsia="Calibri" w:hAnsi="Calibri"/>
                <w:color w:val="1E293B"/>
                <w:sz w:val="19"/>
                <w:szCs w:val="19"/>
              </w:rPr>
              <w:t xml:space="preserve">AI price recommendations; demand forecasting; TMS API for enterprise shippers; cargo insurance integration; 100+ corridors; ONDC integration.</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b/>
                <w:bCs/>
                <w:color w:val="1A3557"/>
                <w:sz w:val="19"/>
                <w:szCs w:val="19"/>
              </w:rPr>
              <w:t xml:space="preserve">Phase 4
Platform</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b/>
                <w:bCs/>
                <w:color w:val="E8601C"/>
                <w:sz w:val="19"/>
                <w:szCs w:val="19"/>
              </w:rPr>
              <w:t xml:space="preserve">Months 25–36</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Fleet management tools for multi-truck operators; driver finance product (factoring); public freight data API; cross-border (Nepal, Bangladesh) feasibility study.</w:t>
            </w:r>
          </w:p>
        </w:tc>
      </w:tr>
    </w:tbl>
    <w:p>
      <w:pPr>
        <w:spacing w:before="0" w:after="120"/>
      </w:pPr>
      <w:r>
        <w:t xml:space="preserve"/>
      </w:r>
    </w:p>
    <w:p>
      <w:pPr>
        <w:pStyle w:val="Heading1"/>
        <w:pBdr>
          <w:bottom w:val="single" w:color="E8601C" w:sz="8" w:space="4"/>
        </w:pBdr>
        <w:spacing w:before="360" w:after="160"/>
      </w:pPr>
      <w:r>
        <w:rPr>
          <w:rFonts w:ascii="Calibri" w:cs="Calibri" w:eastAsia="Calibri" w:hAnsi="Calibri"/>
          <w:b/>
          <w:bCs/>
          <w:color w:val="1A3557"/>
          <w:sz w:val="32"/>
          <w:szCs w:val="32"/>
        </w:rPr>
        <w:t xml:space="preserve">10. Conclusion</w:t>
      </w:r>
    </w:p>
    <w:p>
      <w:pPr>
        <w:spacing w:before="80" w:after="100"/>
      </w:pPr>
      <w:r>
        <w:rPr>
          <w:rFonts w:ascii="Calibri" w:cs="Calibri" w:eastAsia="Calibri" w:hAnsi="Calibri"/>
          <w:color w:val="1E293B"/>
          <w:sz w:val="22"/>
          <w:szCs w:val="22"/>
        </w:rPr>
        <w:t xml:space="preserve">The empty backhaul problem is one of the most persistent and quantifiable inefficiencies in Indian road logistics. It is not a problem of infrastructure or geography — it is a problem of information. Truck drivers with spare capacity and shippers with goods to move exist in the same locations at the same times, but lack a reliable mechanism to find each other.</w:t>
      </w:r>
    </w:p>
    <w:p>
      <w:pPr>
        <w:spacing w:before="0" w:after="80"/>
      </w:pPr>
      <w:r>
        <w:t xml:space="preserve"/>
      </w:r>
    </w:p>
    <w:p>
      <w:pPr>
        <w:spacing w:before="80" w:after="100"/>
      </w:pPr>
      <w:r>
        <w:rPr>
          <w:rFonts w:ascii="Calibri" w:cs="Calibri" w:eastAsia="Calibri" w:hAnsi="Calibri"/>
          <w:color w:val="1E293B"/>
          <w:sz w:val="22"/>
          <w:szCs w:val="22"/>
        </w:rPr>
        <w:t xml:space="preserve">The Smart Return Load Platform solves this with a focused, technology-driven approach: route-aware matching, verified profiles, real-time tracking, and a transparent marketplace that benefits both sides of every transaction. Every empty truck it fills represents real savings for a driver, real reliability for a shipper, and a small step toward a more efficient national freight network.</w:t>
      </w:r>
    </w:p>
    <w:p>
      <w:pPr>
        <w:spacing w:before="0" w:after="80"/>
      </w:pPr>
      <w:r>
        <w:t xml:space="preserve"/>
      </w:r>
    </w:p>
    <w:p>
      <w:pPr>
        <w:spacing w:before="80" w:after="100"/>
      </w:pPr>
      <w:r>
        <w:rPr>
          <w:rFonts w:ascii="Calibri" w:cs="Calibri" w:eastAsia="Calibri" w:hAnsi="Calibri"/>
          <w:color w:val="1E293B"/>
          <w:sz w:val="22"/>
          <w:szCs w:val="22"/>
        </w:rPr>
        <w:t xml:space="preserve">The commercial opportunity is significant — India's trucking market is among the largest in the world, and the digital penetration of freight remains low. A platform built with the right architecture, a strong community focus, and genuine empathy for the owner-operator segment is well-positioned to become a foundational piece of India's logistics infrastructure.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01C" w:sz="12"/>
              <w:left w:val="none" w:color="FFFFFF" w:sz="0"/>
              <w:bottom w:val="single" w:color="E8601C" w:sz="12"/>
              <w:right w:val="none" w:color="FFFFFF" w:sz="0"/>
            </w:tcBorders>
            <w:shd w:fill="EEF3F9" w:val="clear"/>
            <w:tcMar>
              <w:top w:type="dxa" w:w="200"/>
              <w:left w:type="dxa" w:w="300"/>
              <w:bottom w:type="dxa" w:w="200"/>
              <w:right w:type="dxa" w:w="300"/>
            </w:tcMar>
          </w:tcPr>
          <w:p>
            <w:pPr>
              <w:jc w:val="center"/>
            </w:pPr>
            <w:r>
              <w:rPr>
                <w:rFonts w:ascii="Calibri" w:cs="Calibri" w:eastAsia="Calibri" w:hAnsi="Calibri"/>
                <w:b/>
                <w:bCs/>
                <w:i/>
                <w:iCs/>
                <w:color w:val="1A3557"/>
                <w:sz w:val="26"/>
                <w:szCs w:val="26"/>
              </w:rPr>
              <w:t xml:space="preserve">Every kilometre driven empty is a kilometre of lost potential.</w:t>
            </w:r>
          </w:p>
          <w:p>
            <w:pPr>
              <w:spacing w:before="0" w:after="60"/>
            </w:pPr>
            <w:r>
              <w:t xml:space="preserve"/>
            </w:r>
          </w:p>
          <w:p>
            <w:pPr>
              <w:jc w:val="center"/>
            </w:pPr>
            <w:r>
              <w:rPr>
                <w:rFonts w:ascii="Calibri" w:cs="Calibri" w:eastAsia="Calibri" w:hAnsi="Calibri"/>
                <w:i/>
                <w:iCs/>
                <w:color w:val="64748B"/>
                <w:sz w:val="22"/>
                <w:szCs w:val="22"/>
              </w:rPr>
              <w:t xml:space="preserve">This platform turns that potential into profit — for drivers, for shippers, and for India's supply chain.</w:t>
            </w:r>
          </w:p>
        </w:tc>
      </w:tr>
    </w:tbl>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80" w:after="0"/>
    </w:pPr>
    <w:r>
      <w:rPr>
        <w:rFonts w:ascii="Calibri" w:cs="Calibri" w:eastAsia="Calibri" w:hAnsi="Calibri"/>
        <w:color w:val="64748B"/>
        <w:sz w:val="17"/>
        <w:szCs w:val="17"/>
      </w:rPr>
      <w:t xml:space="preserve">© 2025 Smart Return Load Platform</w:t>
    </w:r>
    <w:r>
      <w:rPr>
        <w:rFonts w:ascii="Calibri" w:cs="Calibri" w:eastAsia="Calibri" w:hAnsi="Calibri"/>
        <w:color w:val="64748B"/>
        <w:sz w:val="17"/>
        <w:szCs w:val="17"/>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01C" w:sz="6" w:space="4"/>
      </w:pBdr>
      <w:tabs>
        <w:tab w:val="right" w:pos="9026"/>
      </w:tabs>
      <w:spacing w:before="0" w:after="80"/>
    </w:pPr>
    <w:r>
      <w:rPr>
        <w:rFonts w:ascii="Calibri" w:cs="Calibri" w:eastAsia="Calibri" w:hAnsi="Calibri"/>
        <w:b/>
        <w:bCs/>
        <w:color w:val="1A3557"/>
        <w:sz w:val="18"/>
        <w:szCs w:val="18"/>
      </w:rPr>
      <w:t xml:space="preserve">Smart Return Load Platform</w:t>
    </w:r>
    <w:r>
      <w:rPr>
        <w:rFonts w:ascii="Calibri" w:cs="Calibri" w:eastAsia="Calibri" w:hAnsi="Calibri"/>
        <w:color w:val="64748B"/>
        <w:sz w:val="17"/>
        <w:szCs w:val="17"/>
      </w:rPr>
      <w:t xml:space="preserve">	Product Proposal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b/>
        <w:bCs/>
        <w:color w:val="E8601C"/>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1A3557"/>
      <w:sz w:val="32"/>
      <w:szCs w:val="32"/>
    </w:rPr>
  </w:style>
  <w:style w:type="paragraph" w:styleId="Heading2">
    <w:name w:val="Heading 2"/>
    <w:basedOn w:val="Normal"/>
    <w:next w:val="Normal"/>
    <w:qFormat/>
    <w:pPr>
      <w:spacing w:before="240" w:after="100"/>
      <w:outlineLvl w:val="1"/>
    </w:pPr>
    <w:rPr>
      <w:rFonts w:ascii="Calibri" w:cs="Calibri" w:eastAsia="Calibri" w:hAnsi="Calibri"/>
      <w:b/>
      <w:bCs/>
      <w:color w:val="1A35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2026-03-14T12:40:39.929Z</dcterms:created>
  <dcterms:modified xsi:type="dcterms:W3CDTF">2026-03-14T12:40:39.930Z</dcterms:modified>
</cp:coreProperties>
</file>

<file path=docProps/custom.xml><?xml version="1.0" encoding="utf-8"?>
<Properties xmlns="http://schemas.openxmlformats.org/officeDocument/2006/custom-properties" xmlns:vt="http://schemas.openxmlformats.org/officeDocument/2006/docPropsVTypes"/>
</file>