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F70" w:rsidRDefault="00F54F70" w:rsidP="00F54F70">
      <w:pPr>
        <w:pStyle w:val="2"/>
        <w:rPr>
          <w:lang w:val="ru-RU"/>
        </w:rPr>
      </w:pPr>
      <w:bookmarkStart w:id="0" w:name="_Toc152504305"/>
      <w:bookmarkStart w:id="1" w:name="_Toc152565238"/>
      <w:r>
        <w:rPr>
          <w:lang w:val="ru-RU"/>
        </w:rPr>
        <w:t>Краткие описания вариантов использования</w:t>
      </w:r>
      <w:bookmarkEnd w:id="0"/>
      <w:bookmarkEnd w:id="1"/>
    </w:p>
    <w:p w:rsidR="00F54F70" w:rsidRDefault="00F54F70" w:rsidP="00F54F70">
      <w:pPr>
        <w:pStyle w:val="3"/>
        <w:rPr>
          <w:lang w:val="ru-RU"/>
        </w:rPr>
      </w:pPr>
      <w:bookmarkStart w:id="2" w:name="_Toc152345039"/>
      <w:bookmarkStart w:id="3" w:name="_Toc152504306"/>
      <w:bookmarkStart w:id="4" w:name="_Toc152565239"/>
      <w:r>
        <w:rPr>
          <w:lang w:val="ru-RU"/>
        </w:rPr>
        <w:t>Г</w:t>
      </w:r>
      <w:proofErr w:type="gramStart"/>
      <w:r>
        <w:t>1</w:t>
      </w:r>
      <w:proofErr w:type="gramEnd"/>
      <w:r>
        <w:t xml:space="preserve">. </w:t>
      </w:r>
      <w:r>
        <w:rPr>
          <w:lang w:val="ru-RU"/>
        </w:rPr>
        <w:t>Создание заказа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7"/>
        <w:gridCol w:w="1916"/>
        <w:gridCol w:w="1628"/>
        <w:gridCol w:w="5470"/>
      </w:tblGrid>
      <w:tr w:rsidR="00F54F70" w:rsidTr="00E4092C">
        <w:tc>
          <w:tcPr>
            <w:tcW w:w="556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</w:pPr>
            <w:r>
              <w:rPr>
                <w:lang w:val="ru-RU"/>
              </w:rPr>
              <w:t>Г</w:t>
            </w:r>
            <w:proofErr w:type="gramStart"/>
            <w:r>
              <w:t>1</w:t>
            </w:r>
            <w:proofErr w:type="gramEnd"/>
          </w:p>
        </w:tc>
        <w:tc>
          <w:tcPr>
            <w:tcW w:w="1917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Горожанин</w:t>
            </w:r>
          </w:p>
        </w:tc>
        <w:tc>
          <w:tcPr>
            <w:tcW w:w="1629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Создание заказа</w:t>
            </w:r>
          </w:p>
        </w:tc>
        <w:tc>
          <w:tcPr>
            <w:tcW w:w="5474" w:type="dxa"/>
          </w:tcPr>
          <w:p w:rsidR="00F54F70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Этот вариант использования  позволяет горожанину создавать новый заказ на выполнение изделия</w:t>
            </w:r>
          </w:p>
        </w:tc>
      </w:tr>
    </w:tbl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>: Горожанин.</w:t>
      </w:r>
    </w:p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>: Аналитик</w:t>
      </w:r>
    </w:p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>: отсутствуют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</w:t>
      </w:r>
      <w:r>
        <w:rPr>
          <w:lang w:val="ru-RU"/>
        </w:rPr>
        <w:t>.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>
        <w:rPr>
          <w:lang w:val="ru-RU"/>
        </w:rPr>
        <w:t>д(</w:t>
      </w:r>
      <w:proofErr w:type="gramEnd"/>
      <w:r>
        <w:rPr>
          <w:lang w:val="ru-RU"/>
        </w:rPr>
        <w:t>фасон) изделия и симптомы заболевания. Срочные заказы помечаются признаком 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F54F70" w:rsidRDefault="00F54F70" w:rsidP="00F54F70">
      <w:pPr>
        <w:pStyle w:val="3"/>
        <w:rPr>
          <w:lang w:val="ru-RU"/>
        </w:rPr>
      </w:pPr>
      <w:bookmarkStart w:id="5" w:name="_Toc152345040"/>
      <w:bookmarkStart w:id="6" w:name="_Toc152504307"/>
      <w:bookmarkStart w:id="7" w:name="_Toc152565240"/>
      <w:r>
        <w:t>M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Изменение заказа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F54F70" w:rsidTr="00E4092C">
        <w:tc>
          <w:tcPr>
            <w:tcW w:w="556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t>M2</w:t>
            </w:r>
          </w:p>
        </w:tc>
        <w:tc>
          <w:tcPr>
            <w:tcW w:w="1917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lang w:val="ru-RU"/>
              </w:rPr>
            </w:pPr>
            <w:r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F54F70" w:rsidRDefault="00F54F70" w:rsidP="00E4092C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Изменение заказа</w:t>
            </w:r>
          </w:p>
        </w:tc>
        <w:tc>
          <w:tcPr>
            <w:tcW w:w="5474" w:type="dxa"/>
          </w:tcPr>
          <w:p w:rsidR="00F54F70" w:rsidRDefault="00F54F70" w:rsidP="00F54F70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Аналитик может откорректировать информацию о заказе до перехода заказа на стадию выполнения, входными параметрами которой являются изменяемая информация</w:t>
            </w:r>
          </w:p>
        </w:tc>
      </w:tr>
    </w:tbl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>: Аналитик.</w:t>
      </w:r>
    </w:p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>: Горожанин</w:t>
      </w:r>
    </w:p>
    <w:p w:rsidR="00F54F70" w:rsidRDefault="00F54F70" w:rsidP="00F54F70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>: отсутствуют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описание.</w:t>
      </w:r>
      <w:r>
        <w:rPr>
          <w:lang w:val="ru-RU"/>
        </w:rPr>
        <w:t xml:space="preserve"> 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Данный вариант использования  позволяет аналитику внести изменения в описания заказов, находящихся в производстве.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F54F70" w:rsidRDefault="00F54F70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F54F70" w:rsidRDefault="00336123" w:rsidP="00F54F7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Горожанин</w:t>
      </w:r>
      <w:r w:rsidR="00F54F70">
        <w:rPr>
          <w:lang w:val="ru-RU"/>
        </w:rPr>
        <w:t xml:space="preserve"> уведомляется о результатах изменений.</w:t>
      </w:r>
    </w:p>
    <w:p w:rsidR="00336123" w:rsidRDefault="00336123" w:rsidP="00336123">
      <w:pPr>
        <w:pStyle w:val="3"/>
      </w:pPr>
      <w:bookmarkStart w:id="8" w:name="_Toc152345041"/>
      <w:bookmarkStart w:id="9" w:name="_Toc152504308"/>
      <w:bookmarkStart w:id="10" w:name="_Toc152565241"/>
      <w:r>
        <w:t xml:space="preserve">M3. </w:t>
      </w:r>
      <w:bookmarkEnd w:id="8"/>
      <w:bookmarkEnd w:id="9"/>
      <w:bookmarkEnd w:id="10"/>
      <w:r>
        <w:rPr>
          <w:lang w:val="ru-RU"/>
        </w:rPr>
        <w:t>Изменение статуса заказа.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336123" w:rsidTr="00E4092C">
        <w:tc>
          <w:tcPr>
            <w:tcW w:w="556" w:type="dxa"/>
          </w:tcPr>
          <w:p w:rsidR="00336123" w:rsidRDefault="0033612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t>M3</w:t>
            </w:r>
          </w:p>
        </w:tc>
        <w:tc>
          <w:tcPr>
            <w:tcW w:w="1917" w:type="dxa"/>
          </w:tcPr>
          <w:p w:rsidR="00336123" w:rsidRDefault="0033612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Аналитик</w:t>
            </w:r>
          </w:p>
        </w:tc>
        <w:tc>
          <w:tcPr>
            <w:tcW w:w="1629" w:type="dxa"/>
          </w:tcPr>
          <w:p w:rsidR="00336123" w:rsidRDefault="00336123" w:rsidP="00E4092C">
            <w:pPr>
              <w:pStyle w:val="a3"/>
              <w:spacing w:line="240" w:lineRule="auto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статуса заказа.</w:t>
            </w:r>
          </w:p>
        </w:tc>
        <w:tc>
          <w:tcPr>
            <w:tcW w:w="5474" w:type="dxa"/>
          </w:tcPr>
          <w:p w:rsidR="00336123" w:rsidRDefault="00336123" w:rsidP="00336123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color w:val="000000"/>
                <w:lang w:val="ru-RU"/>
              </w:rPr>
            </w:pPr>
            <w:r>
              <w:rPr>
                <w:lang w:val="ru-RU"/>
              </w:rPr>
              <w:t>При необходимости изменения статуса заказа аналитик вызывает функцию «Изменение статуса»</w:t>
            </w:r>
          </w:p>
        </w:tc>
      </w:tr>
    </w:tbl>
    <w:p w:rsidR="00336123" w:rsidRDefault="00336123" w:rsidP="00336123">
      <w:pPr>
        <w:rPr>
          <w:lang w:val="ru-RU"/>
        </w:rPr>
      </w:pPr>
      <w:r>
        <w:rPr>
          <w:i/>
          <w:lang w:val="ru-RU"/>
        </w:rPr>
        <w:t>Основное действующее лицо</w:t>
      </w:r>
      <w:r>
        <w:rPr>
          <w:lang w:val="ru-RU"/>
        </w:rPr>
        <w:t>: Аналитик.</w:t>
      </w:r>
    </w:p>
    <w:p w:rsidR="00336123" w:rsidRDefault="00336123" w:rsidP="00336123">
      <w:pPr>
        <w:rPr>
          <w:lang w:val="ru-RU"/>
        </w:rPr>
      </w:pPr>
      <w:r>
        <w:rPr>
          <w:i/>
          <w:lang w:val="ru-RU"/>
        </w:rPr>
        <w:t>Другие участники прецедента</w:t>
      </w:r>
      <w:r>
        <w:rPr>
          <w:lang w:val="ru-RU"/>
        </w:rPr>
        <w:t>: Аналитик; Горожанин</w:t>
      </w:r>
    </w:p>
    <w:p w:rsidR="00336123" w:rsidRDefault="00336123" w:rsidP="00336123">
      <w:pPr>
        <w:rPr>
          <w:lang w:val="ru-RU"/>
        </w:rPr>
      </w:pPr>
      <w:r>
        <w:rPr>
          <w:i/>
          <w:lang w:val="ru-RU"/>
        </w:rPr>
        <w:t>Связи с другими вариантами использования</w:t>
      </w:r>
      <w:r>
        <w:rPr>
          <w:lang w:val="ru-RU"/>
        </w:rPr>
        <w:t>: отсутствуют</w:t>
      </w:r>
    </w:p>
    <w:p w:rsidR="00336123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i/>
          <w:lang w:val="ru-RU"/>
        </w:rPr>
        <w:t>Краткое описание.</w:t>
      </w:r>
      <w:r>
        <w:rPr>
          <w:lang w:val="ru-RU"/>
        </w:rPr>
        <w:t xml:space="preserve"> </w:t>
      </w:r>
    </w:p>
    <w:p w:rsidR="00336123" w:rsidRDefault="00336123" w:rsidP="0033612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Данный вариант использования  позволяет Аналитику изменять статус заказа, который еще не перешел на стадию выполнения. Нельзя повышать статус заказа. Возможно только понизит</w:t>
      </w:r>
      <w:proofErr w:type="gramStart"/>
      <w:r>
        <w:rPr>
          <w:lang w:val="ru-RU"/>
        </w:rPr>
        <w:t>ь(</w:t>
      </w:r>
      <w:proofErr w:type="gramEnd"/>
      <w:r>
        <w:rPr>
          <w:lang w:val="ru-RU"/>
        </w:rPr>
        <w:t>увеличить сроки выполнения) статус или заблокировать(полностью приостановить). Блокировка возможна на всех этапах до передачи заказа Магу.</w:t>
      </w:r>
    </w:p>
    <w:p w:rsidR="002C313E" w:rsidRPr="00F54F70" w:rsidRDefault="00336123">
      <w:pPr>
        <w:rPr>
          <w:lang w:val="ru-RU"/>
        </w:rPr>
      </w:pPr>
    </w:p>
    <w:sectPr w:rsidR="002C313E" w:rsidRPr="00F54F70" w:rsidSect="00F93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54F70"/>
    <w:rsid w:val="00336123"/>
    <w:rsid w:val="0044438A"/>
    <w:rsid w:val="00645F87"/>
    <w:rsid w:val="00F54F70"/>
    <w:rsid w:val="00F9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F54F7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F54F7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54F7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F54F7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F54F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F54F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F54F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F54F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aliases w:val="Заголовок 90"/>
    <w:basedOn w:val="a"/>
    <w:next w:val="a"/>
    <w:link w:val="90"/>
    <w:qFormat/>
    <w:rsid w:val="00F54F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4F70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F54F70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F54F70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F54F70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rsid w:val="00F54F70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54F70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54F70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F54F70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F54F70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3">
    <w:name w:val="Body Text"/>
    <w:basedOn w:val="a"/>
    <w:link w:val="a4"/>
    <w:semiHidden/>
    <w:rsid w:val="00336123"/>
    <w:pPr>
      <w:keepLines/>
      <w:spacing w:after="120"/>
      <w:ind w:left="720"/>
    </w:pPr>
  </w:style>
  <w:style w:type="character" w:customStyle="1" w:styleId="a4">
    <w:name w:val="Основной текст Знак"/>
    <w:basedOn w:val="a0"/>
    <w:link w:val="a3"/>
    <w:semiHidden/>
    <w:rsid w:val="00336123"/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PartyLeader</dc:creator>
  <cp:lastModifiedBy>PartyLeader</cp:lastModifiedBy>
  <cp:revision>1</cp:revision>
  <dcterms:created xsi:type="dcterms:W3CDTF">2013-11-14T04:35:00Z</dcterms:created>
  <dcterms:modified xsi:type="dcterms:W3CDTF">2013-11-14T04:56:00Z</dcterms:modified>
</cp:coreProperties>
</file>