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266 Homework 1</w:t>
      </w:r>
    </w:p>
    <w:bookmarkStart w:id="18" w:name="data-266-homework-1"/>
    <w:p>
      <w:pPr>
        <w:pStyle w:val="Heading1"/>
      </w:pPr>
      <w:r>
        <w:t xml:space="preserve">DATA 266 — Homework 1</w:t>
      </w:r>
    </w:p>
    <w:p>
      <w:pPr>
        <w:pStyle w:val="FirstParagraph"/>
      </w:pPr>
      <w:r>
        <w:rPr>
          <w:b/>
          <w:bCs/>
        </w:rPr>
        <w:t xml:space="preserve">Personal Parameters (Section 0.1)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SID4</w:t>
            </w:r>
          </w:p>
        </w:tc>
        <w:tc>
          <w:tcPr/>
          <w:p>
            <w:pPr>
              <w:pStyle w:val="Compact"/>
            </w:pPr>
            <w:r>
              <w:t xml:space="preserve">1605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1605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SLICE</w:t>
            </w:r>
          </w:p>
        </w:tc>
        <w:tc>
          <w:tcPr/>
          <w:p>
            <w:pPr>
              <w:pStyle w:val="Compact"/>
            </w:pPr>
            <w:r>
              <w:t xml:space="preserve">605 (not used by HW1)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HP_ID</w:t>
            </w:r>
          </w:p>
        </w:tc>
        <w:tc>
          <w:tcPr/>
          <w:p>
            <w:pPr>
              <w:pStyle w:val="Compact"/>
            </w:pPr>
            <w:r>
              <w:t xml:space="preserve">3 — Learning-rate-low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CLS_A</w:t>
            </w:r>
          </w:p>
        </w:tc>
        <w:tc>
          <w:tcPr/>
          <w:p>
            <w:pPr>
              <w:pStyle w:val="Compact"/>
            </w:pPr>
            <w:r>
              <w:t xml:space="preserve">5 (not used by HW1)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CLS_B</w:t>
            </w:r>
          </w:p>
        </w:tc>
        <w:tc>
          <w:tcPr/>
          <w:p>
            <w:pPr>
              <w:pStyle w:val="Compact"/>
            </w:pPr>
            <w:r>
              <w:t xml:space="preserve">3 (not used by HW1)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Xba863ba727a38d85d9c401c3f35be1572241a1c"/>
    <w:p>
      <w:pPr>
        <w:pStyle w:val="Heading2"/>
      </w:pPr>
      <w:r>
        <w:t xml:space="preserve">Part 1 — What are autoregressive models? (5 points)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autoregressive (AR) model</w:t>
      </w:r>
      <w:r>
        <w:t xml:space="preserve"> </w:t>
      </w:r>
      <w:r>
        <w:t xml:space="preserve">generates a sequence one element at a time, where each new</w:t>
      </w:r>
      <w:r>
        <w:t xml:space="preserve"> </w:t>
      </w:r>
      <w:r>
        <w:t xml:space="preserve">element is predicted conditioned on the elements produced (or observed) so far. For a sequence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, it factorizes the joint probability by the chain rule, without an independence</w:t>
      </w:r>
      <w:r>
        <w:t xml:space="preserve"> </w:t>
      </w:r>
      <w:r>
        <w:t xml:space="preserve">assumption between steps:</w:t>
      </w:r>
    </w:p>
    <w:p>
      <w:pPr>
        <w:pStyle w:val="BodyText"/>
      </w:pPr>
      <w:r>
        <w:t xml:space="preserve">P(x₁, x₂, …, x_T) = ∏</w:t>
      </w:r>
      <w:r>
        <w:rPr>
          <w:i/>
          <w:iCs/>
        </w:rPr>
        <w:t xml:space="preserve">{t=1}^{T} P(x_t | x₁, …, x</w:t>
      </w:r>
      <w:r>
        <w:t xml:space="preserve">{t-1})</w:t>
      </w:r>
    </w:p>
    <w:p>
      <w:pPr>
        <w:pStyle w:val="BodyText"/>
      </w:pPr>
      <w:r>
        <w:t xml:space="preserve">Each conditional is learned by a model (classical linear AR/ARIMA, an RNN, or a Transformer</w:t>
      </w:r>
      <w:r>
        <w:t xml:space="preserve"> </w:t>
      </w:r>
      <w:r>
        <w:t xml:space="preserve">decoder), and generation proceeds left to right: predict/sample x_t, append it to the context,</w:t>
      </w:r>
      <w:r>
        <w:t xml:space="preserve"> </w:t>
      </w:r>
      <w:r>
        <w:t xml:space="preserve">predict x_{t+1}, repeat. The model regresses on its own past outputs — hence</w:t>
      </w:r>
      <w:r>
        <w:t xml:space="preserve"> </w:t>
      </w:r>
      <w:r>
        <w:t xml:space="preserve">“autoregressive.”</w:t>
      </w:r>
    </w:p>
    <w:p>
      <w:pPr>
        <w:pStyle w:val="BodyText"/>
      </w:pPr>
      <w:r>
        <w:rPr>
          <w:b/>
          <w:bCs/>
        </w:rPr>
        <w:t xml:space="preserve">Real-world examples: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Classical time-series forecasting (AR/ARIMA):</w:t>
      </w:r>
      <w:r>
        <w:t xml:space="preserve"> </w:t>
      </w:r>
      <w:r>
        <w:t xml:space="preserve">predicting tomorrow’s stock price or</w:t>
      </w:r>
      <w:r>
        <w:t xml:space="preserve"> </w:t>
      </w:r>
      <w:r>
        <w:t xml:space="preserve">temperature from the last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observed values.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GPT-style large language models:</w:t>
      </w:r>
      <w:r>
        <w:t xml:space="preserve"> </w:t>
      </w:r>
      <w:r>
        <w:t xml:space="preserve">every output token is predicted conditioned on all</w:t>
      </w:r>
      <w:r>
        <w:t xml:space="preserve"> </w:t>
      </w:r>
      <w:r>
        <w:t xml:space="preserve">previous tokens, one token at a time, left to right (e.g., ChatGPT, Claude, GPT-4).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WaveNet / audio generation:</w:t>
      </w:r>
      <w:r>
        <w:t xml:space="preserve"> </w:t>
      </w:r>
      <w:r>
        <w:t xml:space="preserve">raw audio waveforms generated one sample at a time, each</w:t>
      </w:r>
      <w:r>
        <w:t xml:space="preserve"> </w:t>
      </w:r>
      <w:r>
        <w:t xml:space="preserve">conditioned on previously generated samples.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PixelRNN / PixelCNN:</w:t>
      </w:r>
      <w:r>
        <w:t xml:space="preserve"> </w:t>
      </w:r>
      <w:r>
        <w:t xml:space="preserve">images generated pixel by pixel, each pixel’s distribution conditioned</w:t>
      </w:r>
      <w:r>
        <w:t xml:space="preserve"> </w:t>
      </w:r>
      <w:r>
        <w:t xml:space="preserve">on previously generated pixels in raster-scan order.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 completion (e.g., GitHub Copilot):</w:t>
      </w:r>
      <w:r>
        <w:t xml:space="preserve"> </w:t>
      </w:r>
      <w:r>
        <w:t xml:space="preserve">the next token is predicted from all preceding</w:t>
      </w:r>
      <w:r>
        <w:t xml:space="preserve"> </w:t>
      </w:r>
      <w:r>
        <w:t xml:space="preserve">tokens in the file, the same autoregressive mechanism as chat LLMs.</w:t>
      </w:r>
    </w:p>
    <w:p>
      <w:r>
        <w:pict>
          <v:rect style="width:0;height:1.5pt" o:hralign="center" o:hrstd="t" o:hr="t"/>
        </w:pict>
      </w:r>
    </w:p>
    <w:bookmarkEnd w:id="9"/>
    <w:bookmarkStart w:id="13" w:name="Xf99768be8693c036a1287fb089e7626043b89ba"/>
    <w:p>
      <w:pPr>
        <w:pStyle w:val="Heading2"/>
      </w:pPr>
      <w:r>
        <w:t xml:space="preserve">Part 2 — Diabetes Dataset: Neural Network Implementation (10 points)</w:t>
      </w:r>
    </w:p>
    <w:p>
      <w:pPr>
        <w:pStyle w:val="FirstParagraph"/>
      </w:pPr>
      <w:r>
        <w:rPr>
          <w:b/>
          <w:bCs/>
        </w:rPr>
        <w:t xml:space="preserve">Dataset:</w:t>
      </w:r>
      <w:r>
        <w:t xml:space="preserve"> </w:t>
      </w:r>
      <w:r>
        <w:t xml:space="preserve">Pima Indians Diabetes (768 rows, 8 numeric features, binary</w:t>
      </w:r>
      <w:r>
        <w:t xml:space="preserve"> </w:t>
      </w:r>
      <w:r>
        <w:rPr>
          <w:rStyle w:val="VerbatimChar"/>
        </w:rPr>
        <w:t xml:space="preserve">Outcome</w:t>
      </w:r>
      <w:r>
        <w:t xml:space="preserve">), loaded from a</w:t>
      </w:r>
      <w:r>
        <w:t xml:space="preserve"> </w:t>
      </w:r>
      <w:r>
        <w:t xml:space="preserve">public mirror of the standard no-header UCI-derived CSV. Full pipeline, code, and executed outputs</w:t>
      </w:r>
      <w:r>
        <w:t xml:space="preserve"> </w:t>
      </w:r>
      <w:r>
        <w:t xml:space="preserve">are in</w:t>
      </w:r>
      <w:r>
        <w:t xml:space="preserve"> </w:t>
      </w:r>
      <w:r>
        <w:rPr>
          <w:rStyle w:val="VerbatimChar"/>
        </w:rPr>
        <w:t xml:space="preserve">neural_networks.ipynb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Preprocessing:</w:t>
      </w:r>
      <w:r>
        <w:t xml:space="preserve"> </w:t>
      </w:r>
      <w:r>
        <w:t xml:space="preserve">physiologically-impossible zeros in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,</w:t>
      </w:r>
      <w:r>
        <w:t xml:space="preserve"> </w:t>
      </w:r>
      <w:r>
        <w:rPr>
          <w:rStyle w:val="VerbatimChar"/>
        </w:rPr>
        <w:t xml:space="preserve">BloodPressure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SkinThickness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Insulin</w:t>
      </w:r>
      <w:r>
        <w:t xml:space="preserve">,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were recoded as missing and imputed with the training-set</w:t>
      </w:r>
      <w:r>
        <w:t xml:space="preserve"> </w:t>
      </w:r>
      <w:r>
        <w:t xml:space="preserve">median; all features were standardized with a scaler fit only on the training split.</w:t>
      </w:r>
    </w:p>
    <w:p>
      <w:pPr>
        <w:pStyle w:val="BodyText"/>
      </w:pPr>
      <w:r>
        <w:rPr>
          <w:b/>
          <w:bCs/>
        </w:rPr>
        <w:t xml:space="preserve">Split:</w:t>
      </w:r>
      <w:r>
        <w:t xml:space="preserve"> </w:t>
      </w:r>
      <w:r>
        <w:t xml:space="preserve">70% / 15% / 15% train/val/test, stratified on</w:t>
      </w:r>
      <w:r>
        <w:t xml:space="preserve"> </w:t>
      </w:r>
      <w:r>
        <w:rPr>
          <w:rStyle w:val="VerbatimChar"/>
        </w:rPr>
        <w:t xml:space="preserve">Outcome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random_state = SEED = 1605</w:t>
      </w:r>
      <w:r>
        <w:t xml:space="preserve">,</w:t>
      </w:r>
      <w:r>
        <w:t xml:space="preserve"> </w:t>
      </w:r>
      <w:r>
        <w:t xml:space="preserve">reused identically for every model comparison below.</w:t>
      </w:r>
    </w:p>
    <w:p>
      <w:pPr>
        <w:pStyle w:val="BodyText"/>
      </w:pPr>
      <w:r>
        <w:rPr>
          <w:b/>
          <w:bCs/>
        </w:rPr>
        <w:t xml:space="preserve">Configurations: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Hidden layers</w:t>
            </w:r>
          </w:p>
        </w:tc>
        <w:tc>
          <w:tcPr/>
          <w:p>
            <w:pPr>
              <w:pStyle w:val="Compac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</w:pPr>
            <w:r>
              <w:t xml:space="preserve">Epochs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(both frameworks)</w:t>
            </w:r>
          </w:p>
        </w:tc>
        <w:tc>
          <w:tcPr/>
          <w:p>
            <w:pPr>
              <w:pStyle w:val="Compact"/>
            </w:pPr>
            <w:r>
              <w:t xml:space="preserve">[64, 32]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 — HP_ID = 3 (both frameworks)</w:t>
            </w:r>
          </w:p>
        </w:tc>
        <w:tc>
          <w:tcPr/>
          <w:p>
            <w:pPr>
              <w:pStyle w:val="Compact"/>
            </w:pPr>
            <w:r>
              <w:t xml:space="preserve">[64, 32]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</w:tbl>
    <w:bookmarkStart w:id="10" w:name="results-multi-seed-test-accuracy"/>
    <w:p>
      <w:pPr>
        <w:pStyle w:val="Heading3"/>
      </w:pPr>
      <w:r>
        <w:t xml:space="preserve">Results — multi-seed test accuracy</w:t>
      </w:r>
    </w:p>
    <w:p>
      <w:pPr>
        <w:pStyle w:val="FirstParagraph"/>
      </w:pPr>
      <w:r>
        <w:t xml:space="preserve">Data split fixed at SEED = 1605; training seeds 1605, 1606, 1607.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Test acc (mean ± std)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PyTorch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0.7529 ± 0.0050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PyTorch</w:t>
            </w:r>
          </w:p>
        </w:tc>
        <w:tc>
          <w:tcPr/>
          <w:p>
            <w:pPr>
              <w:pStyle w:val="Compact"/>
            </w:pPr>
            <w:r>
              <w:t xml:space="preserve">modified (HP_ID=3)</w:t>
            </w:r>
          </w:p>
        </w:tc>
        <w:tc>
          <w:tcPr/>
          <w:p>
            <w:pPr>
              <w:pStyle w:val="Compact"/>
            </w:pPr>
            <w:r>
              <w:t xml:space="preserve">0.7270 ± 0.0132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TensorFlow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0.7414 ± 0.0172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TensorFlow</w:t>
            </w:r>
          </w:p>
        </w:tc>
        <w:tc>
          <w:tcPr/>
          <w:p>
            <w:pPr>
              <w:pStyle w:val="Compact"/>
            </w:pPr>
            <w:r>
              <w:t xml:space="preserve">modified (HP_ID=3)</w:t>
            </w:r>
          </w:p>
        </w:tc>
        <w:tc>
          <w:tcPr/>
          <w:p>
            <w:pPr>
              <w:pStyle w:val="Compact"/>
            </w:pPr>
            <w:r>
              <w:t xml:space="preserve">0.7213 ± 0.0199</w:t>
            </w:r>
          </w:p>
        </w:tc>
      </w:tr>
    </w:tbl>
    <w:bookmarkEnd w:id="10"/>
    <w:bookmarkStart w:id="11" w:name="loss-curves-seed-1605-run"/>
    <w:p>
      <w:pPr>
        <w:pStyle w:val="Heading3"/>
      </w:pPr>
      <w:r>
        <w:t xml:space="preserve">Loss curves (SEED = 1605 run)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figures/pytorch_loss_curves.png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figures/tensorflow_loss_curves.png</w:t>
      </w:r>
      <w:r>
        <w:t xml:space="preserve">. At epoch 30: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Train loss</w:t>
            </w:r>
          </w:p>
        </w:tc>
        <w:tc>
          <w:tcPr/>
          <w:p>
            <w:pPr>
              <w:pStyle w:val="Compact"/>
            </w:pPr>
            <w:r>
              <w:t xml:space="preserve">Val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PyTorch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0.382</w:t>
            </w:r>
          </w:p>
        </w:tc>
        <w:tc>
          <w:tcPr/>
          <w:p>
            <w:pPr>
              <w:pStyle w:val="Compact"/>
            </w:pPr>
            <w:r>
              <w:t xml:space="preserve">0.419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PyTorch</w:t>
            </w:r>
          </w:p>
        </w:tc>
        <w:tc>
          <w:tcPr/>
          <w:p>
            <w:pPr>
              <w:pStyle w:val="Compact"/>
            </w:pPr>
            <w:r>
              <w:t xml:space="preserve">modified</w:t>
            </w:r>
          </w:p>
        </w:tc>
        <w:tc>
          <w:tcPr/>
          <w:p>
            <w:pPr>
              <w:pStyle w:val="Compact"/>
            </w:pPr>
            <w:r>
              <w:t xml:space="preserve">0.428</w:t>
            </w:r>
          </w:p>
        </w:tc>
        <w:tc>
          <w:tcPr/>
          <w:p>
            <w:pPr>
              <w:pStyle w:val="Compact"/>
            </w:pPr>
            <w:r>
              <w:t xml:space="preserve">0.404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TensorFlow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0.363</w:t>
            </w:r>
          </w:p>
        </w:tc>
        <w:tc>
          <w:tcPr/>
          <w:p>
            <w:pPr>
              <w:pStyle w:val="Compact"/>
            </w:pPr>
            <w:r>
              <w:t xml:space="preserve">0.428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TensorFlow</w:t>
            </w:r>
          </w:p>
        </w:tc>
        <w:tc>
          <w:tcPr/>
          <w:p>
            <w:pPr>
              <w:pStyle w:val="Compact"/>
            </w:pPr>
            <w:r>
              <w:t xml:space="preserve">modified</w:t>
            </w:r>
          </w:p>
        </w:tc>
        <w:tc>
          <w:tcPr/>
          <w:p>
            <w:pPr>
              <w:pStyle w:val="Compact"/>
            </w:pPr>
            <w:r>
              <w:t xml:space="preserve">0.421</w:t>
            </w:r>
          </w:p>
        </w:tc>
        <w:tc>
          <w:tcPr/>
          <w:p>
            <w:pPr>
              <w:pStyle w:val="Compact"/>
            </w:pPr>
            <w:r>
              <w:t xml:space="preserve">0.408</w:t>
            </w:r>
          </w:p>
        </w:tc>
      </w:tr>
    </w:tbl>
    <w:bookmarkEnd w:id="11"/>
    <w:bookmarkStart w:id="12" w:name="conclusion"/>
    <w:p>
      <w:pPr>
        <w:pStyle w:val="Heading3"/>
      </w:pPr>
      <w:r>
        <w:t xml:space="preserve">Conclusion</w:t>
      </w:r>
    </w:p>
    <w:p>
      <w:pPr>
        <w:pStyle w:val="FirstParagraph"/>
      </w:pPr>
      <w:r>
        <w:t xml:space="preserve">The baseline consistently outperforms the HP_ID=3 modified model in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frameworks and at</w:t>
      </w:r>
      <w:r>
        <w:t xml:space="preserve"> </w:t>
      </w:r>
      <w:r>
        <w:rPr>
          <w:b/>
          <w:bCs/>
        </w:rPr>
        <w:t xml:space="preserve">all three</w:t>
      </w:r>
      <w:r>
        <w:t xml:space="preserve"> </w:t>
      </w:r>
      <w:r>
        <w:t xml:space="preserve">training seeds, by roughly 2-3 points of test accuracy, with the modified model also</w:t>
      </w:r>
      <w:r>
        <w:t xml:space="preserve"> </w:t>
      </w:r>
      <w:r>
        <w:t xml:space="preserve">showing 2-4x higher seed-to-seed variance. The loss curves explain why: at epoch 30 the baseline’s</w:t>
      </w:r>
      <w:r>
        <w:t xml:space="preserve"> </w:t>
      </w:r>
      <w:r>
        <w:t xml:space="preserve">train loss is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its validation loss (0.382 vs 0.419 for PyTorch) — it has largely converged</w:t>
      </w:r>
      <w:r>
        <w:t xml:space="preserve"> </w:t>
      </w:r>
      <w:r>
        <w:t xml:space="preserve">and is beginning to fit training-set-specific noise — while the modified model’s train loss is</w:t>
      </w:r>
      <w:r>
        <w:t xml:space="preserve"> </w:t>
      </w:r>
      <w:r>
        <w:t xml:space="preserve">still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its validation loss (0.428 vs 0.404) — it has not yet converged. TensorFlow shows the</w:t>
      </w:r>
      <w:r>
        <w:t xml:space="preserve"> </w:t>
      </w:r>
      <w:r>
        <w:t xml:space="preserve">identical qualitative pattern (0.363/0.428 baseline vs 0.421/0.408 modified), which is expected</w:t>
      </w:r>
      <w:r>
        <w:t xml:space="preserve"> </w:t>
      </w:r>
      <w:r>
        <w:t xml:space="preserve">since only the learning rate changed between baseline and modified; architecture, epoch budget,</w:t>
      </w:r>
      <w:r>
        <w:t xml:space="preserve"> </w:t>
      </w:r>
      <w:r>
        <w:t xml:space="preserve">batch size, and data split are all identical.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underfitting relative to baseline caused by an insufficient effective training budget</w:t>
      </w:r>
      <w:r>
        <w:t xml:space="preserve">,</w:t>
      </w:r>
      <w:r>
        <w:t xml:space="preserve"> </w:t>
      </w:r>
      <w:r>
        <w:t xml:space="preserve">not a regularization benefit: a learning rate lowered 3.3x (0.001 → 0.0003) takes smaller gradient</w:t>
      </w:r>
      <w:r>
        <w:t xml:space="preserve"> </w:t>
      </w:r>
      <w:r>
        <w:t xml:space="preserve">steps, so within the same fixed 30-epoch budget it simply hasn’t traveled as far toward a minimum.</w:t>
      </w:r>
      <w:r>
        <w:t xml:space="preserve"> </w:t>
      </w:r>
      <w:r>
        <w:t xml:space="preserve">The modified model’s higher cross-seed variance is consistent with this — it has moved less far</w:t>
      </w:r>
      <w:r>
        <w:t xml:space="preserve"> </w:t>
      </w:r>
      <w:r>
        <w:t xml:space="preserve">from its (seed-dependent) random initialization, so initialization noise still shows up in the</w:t>
      </w:r>
      <w:r>
        <w:t xml:space="preserve"> </w:t>
      </w:r>
      <w:r>
        <w:t xml:space="preserve">final result. Given a longer epoch budget, the lower learning rate would likely close or reverse</w:t>
      </w:r>
      <w:r>
        <w:t xml:space="preserve"> </w:t>
      </w:r>
      <w:r>
        <w:t xml:space="preserve">this gap; within the 30-epoch budget specified by HP_ID=3, it is strictly worse than baseline in</w:t>
      </w:r>
      <w:r>
        <w:t xml:space="preserve"> </w:t>
      </w:r>
      <w:r>
        <w:t xml:space="preserve">this experiment. Per the assignment, this is still the required modified model regardless of</w:t>
      </w:r>
      <w:r>
        <w:t xml:space="preserve"> </w:t>
      </w:r>
      <w:r>
        <w:t xml:space="preserve">whether it outperforms baseline.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Xaad75a5c104c70a2da321521cc545bc171ca74c"/>
    <w:p>
      <w:pPr>
        <w:pStyle w:val="Heading2"/>
      </w:pPr>
      <w:r>
        <w:t xml:space="preserve">Part 3 — CUDA Matrix Multiplication (5 points)</w:t>
      </w:r>
    </w:p>
    <w:p>
      <w:pPr>
        <w:pStyle w:val="FirstParagraph"/>
      </w:pPr>
      <w:r>
        <w:rPr>
          <w:b/>
          <w:bCs/>
        </w:rPr>
        <w:t xml:space="preserve">Status: pending Colab GPU run.</w:t>
      </w:r>
      <w:r>
        <w:t xml:space="preserve"> </w:t>
      </w:r>
      <w:r>
        <w:t xml:space="preserve">This report was assembled on a machine with no NVIDIA GPU</w:t>
      </w:r>
      <w:r>
        <w:t xml:space="preserve"> </w:t>
      </w:r>
      <w:r>
        <w:t xml:space="preserve">(</w:t>
      </w:r>
      <w:r>
        <w:rPr>
          <w:rStyle w:val="VerbatimChar"/>
        </w:rPr>
        <w:t xml:space="preserve">nvcc</w:t>
      </w:r>
      <w:r>
        <w:t xml:space="preserve"> </w:t>
      </w:r>
      <w:r>
        <w:t xml:space="preserve">not installed).</w:t>
      </w:r>
      <w:r>
        <w:t xml:space="preserve"> </w:t>
      </w:r>
      <w:r>
        <w:rPr>
          <w:rStyle w:val="VerbatimChar"/>
        </w:rPr>
        <w:t xml:space="preserve">matmul.cu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cuda.ipynb</w:t>
      </w:r>
      <w:r>
        <w:t xml:space="preserve"> </w:t>
      </w:r>
      <w:r>
        <w:t xml:space="preserve">are complete and ready to run —</w:t>
      </w:r>
      <w:r>
        <w:t xml:space="preserve"> </w:t>
      </w:r>
      <w:r>
        <w:rPr>
          <w:rStyle w:val="VerbatimChar"/>
        </w:rPr>
        <w:t xml:space="preserve">cuda.ipynb</w:t>
      </w:r>
      <w:r>
        <w:t xml:space="preserve"> </w:t>
      </w:r>
      <w:r>
        <w:t xml:space="preserve">should be executed top-to-bottom on Google Colab with a GPU runtime, and the results below</w:t>
      </w:r>
      <w:r>
        <w:t xml:space="preserve"> </w:t>
      </w:r>
      <w:r>
        <w:t xml:space="preserve">replaced with the real output before submission.</w:t>
      </w:r>
    </w:p>
    <w:p>
      <w:pPr>
        <w:pStyle w:val="BodyText"/>
      </w:pPr>
      <w:r>
        <w:rPr>
          <w:b/>
          <w:bCs/>
        </w:rPr>
        <w:t xml:space="preserve">Kernel design (blocks and threads):</w:t>
      </w:r>
      <w:r>
        <w:t xml:space="preserve"> </w:t>
      </w:r>
      <w:r>
        <w:t xml:space="preserve">the output matrix is tiled into 16x16-thread blocks</w:t>
      </w:r>
      <w:r>
        <w:t xml:space="preserve"> </w:t>
      </w:r>
      <w:r>
        <w:t xml:space="preserve">(256 threads/block); the grid is a 2D array of blocks sized to cover the whole N x N output, so</w:t>
      </w:r>
      <w:r>
        <w:t xml:space="preserve"> </w:t>
      </w:r>
      <w:r>
        <w:t xml:space="preserve">each thread computes exactly one output element</w:t>
      </w:r>
      <w:r>
        <w:t xml:space="preserve"> </w:t>
      </w:r>
      <w:r>
        <w:rPr>
          <w:rStyle w:val="VerbatimChar"/>
        </w:rPr>
        <w:t xml:space="preserve">C[row][col]</w:t>
      </w:r>
      <w:r>
        <w:t xml:space="preserve">. Threads in a block cooperatively</w:t>
      </w:r>
      <w:r>
        <w:t xml:space="preserve"> </w:t>
      </w:r>
      <w:r>
        <w:t xml:space="preserve">stage 16x16 sub-tiles of the two input matrices into</w:t>
      </w:r>
      <w:r>
        <w:t xml:space="preserve"> </w:t>
      </w:r>
      <w:r>
        <w:rPr>
          <w:rStyle w:val="VerbatimChar"/>
        </w:rPr>
        <w:t xml:space="preserve">__shared__</w:t>
      </w:r>
      <w:r>
        <w:t xml:space="preserve"> </w:t>
      </w:r>
      <w:r>
        <w:t xml:space="preserve">memory (synchronized with</w:t>
      </w:r>
      <w:r>
        <w:t xml:space="preserve"> </w:t>
      </w:r>
      <w:r>
        <w:rPr>
          <w:rStyle w:val="VerbatimChar"/>
        </w:rPr>
        <w:t xml:space="preserve">__syncthreads()</w:t>
      </w:r>
      <w:r>
        <w:t xml:space="preserve">), turning most global-memory reads into fast shared-memory reads before</w:t>
      </w:r>
      <w:r>
        <w:t xml:space="preserve"> </w:t>
      </w:r>
      <w:r>
        <w:t xml:space="preserve">accumulating the dot product — the standard tiled shared-memory matmul pattern. Full detail is</w:t>
      </w:r>
      <w:r>
        <w:t xml:space="preserve"> </w:t>
      </w:r>
      <w:r>
        <w:t xml:space="preserve">commented in</w:t>
      </w:r>
      <w:r>
        <w:t xml:space="preserve"> </w:t>
      </w:r>
      <w:r>
        <w:rPr>
          <w:rStyle w:val="VerbatimChar"/>
        </w:rPr>
        <w:t xml:space="preserve">matmul.cu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Profiler:</w:t>
      </w:r>
      <w:r>
        <w:t xml:space="preserve"> </w:t>
      </w:r>
      <w:r>
        <w:t xml:space="preserve">Nsight Systems (</w:t>
      </w:r>
      <w:r>
        <w:rPr>
          <w:rStyle w:val="VerbatimChar"/>
        </w:rPr>
        <w:t xml:space="preserve">nsys profile --stats=true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nvprof</w:t>
      </w:r>
      <w:r>
        <w:t xml:space="preserve"> </w:t>
      </w:r>
      <w:r>
        <w:t xml:space="preserve">was removed from the CUDA</w:t>
      </w:r>
      <w:r>
        <w:t xml:space="preserve"> </w:t>
      </w:r>
      <w:r>
        <w:t xml:space="preserve">toolkit starting with CUDA 11 and is not present on current Colab images, so</w:t>
      </w:r>
      <w:r>
        <w:t xml:space="preserve"> </w:t>
      </w:r>
      <w:r>
        <w:rPr>
          <w:rStyle w:val="VerbatimChar"/>
        </w:rPr>
        <w:t xml:space="preserve">nsys</w:t>
      </w:r>
      <w:r>
        <w:t xml:space="preserve"> </w:t>
      </w:r>
      <w:r>
        <w:t xml:space="preserve">(the tool</w:t>
      </w:r>
      <w:r>
        <w:t xml:space="preserve"> </w:t>
      </w:r>
      <w:r>
        <w:t xml:space="preserve">that replaced it) is used instead, as</w:t>
      </w:r>
      <w:r>
        <w:t xml:space="preserve"> </w:t>
      </w:r>
      <w:r>
        <w:rPr>
          <w:rStyle w:val="VerbatimChar"/>
        </w:rPr>
        <w:t xml:space="preserve">cuda.ipynb</w:t>
      </w:r>
      <w:r>
        <w:t xml:space="preserve"> </w:t>
      </w:r>
      <w:r>
        <w:t xml:space="preserve">documents.</w:t>
      </w:r>
    </w:p>
    <w:bookmarkStart w:id="14" w:name="Xa23e92a30bbd424bd5c8e6969453fdedcd4d95a"/>
    <w:p>
      <w:pPr>
        <w:pStyle w:val="Heading3"/>
      </w:pPr>
      <w:r>
        <w:t xml:space="preserve">Required table (to be filled in from the Colab run)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Matrix size</w:t>
            </w:r>
          </w:p>
        </w:tc>
        <w:tc>
          <w:tcPr/>
          <w:p>
            <w:pPr>
              <w:pStyle w:val="Compact"/>
            </w:pPr>
            <w:r>
              <w:t xml:space="preserve">CPU (ms)</w:t>
            </w:r>
          </w:p>
        </w:tc>
        <w:tc>
          <w:tcPr/>
          <w:p>
            <w:pPr>
              <w:pStyle w:val="Compact"/>
            </w:pPr>
            <w:r>
              <w:t xml:space="preserve">GPU kernel (ms)</w:t>
            </w:r>
          </w:p>
        </w:tc>
        <w:tc>
          <w:tcPr/>
          <w:p>
            <w:pPr>
              <w:pStyle w:val="Compact"/>
            </w:pPr>
            <w:r>
              <w:t xml:space="preserve">H2D+D2H (ms)</w:t>
            </w:r>
          </w:p>
        </w:tc>
        <w:tc>
          <w:tcPr/>
          <w:p>
            <w:pPr>
              <w:pStyle w:val="Compact"/>
            </w:pPr>
            <w:r>
              <w:t xml:space="preserve">Speedup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4096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pending</w:t>
            </w:r>
          </w:p>
        </w:tc>
      </w:tr>
    </w:tbl>
    <w:bookmarkEnd w:id="14"/>
    <w:bookmarkStart w:id="15" w:name="X9c17dbf4da44048675ba0cf4eebf95a72465c5e"/>
    <w:p>
      <w:pPr>
        <w:pStyle w:val="Heading3"/>
      </w:pPr>
      <w:r>
        <w:t xml:space="preserve">Crossover analysis (to be finalized with real numbers)</w:t>
      </w:r>
    </w:p>
    <w:p>
      <w:pPr>
        <w:pStyle w:val="FirstParagraph"/>
      </w:pPr>
      <w:r>
        <w:t xml:space="preserve">The smallest matrix size at which GPU end-to-end time (kernel + H2D + D2H) is expected to beat the</w:t>
      </w:r>
      <w:r>
        <w:t xml:space="preserve"> </w:t>
      </w:r>
      <w:r>
        <w:t xml:space="preserve">CPU baseline is somewhere between 256 and 1024 in this design, though the exact crossover must be</w:t>
      </w:r>
      <w:r>
        <w:t xml:space="preserve"> </w:t>
      </w:r>
      <w:r>
        <w:t xml:space="preserve">read off the real Colab measurements above. The crossover is not at size 0 because launching a</w:t>
      </w:r>
      <w:r>
        <w:t xml:space="preserve"> </w:t>
      </w:r>
      <w:r>
        <w:t xml:space="preserve">kernel and moving data across PCIe both carry fixed, largely N-independent overhead (CUDA</w:t>
      </w:r>
      <w:r>
        <w:t xml:space="preserve"> </w:t>
      </w:r>
      <w:r>
        <w:t xml:space="preserve">launch/context latency, transfer setup latency), while transfer time scales with N² (bytes moved)</w:t>
      </w:r>
      <w:r>
        <w:t xml:space="preserve"> </w:t>
      </w:r>
      <w:r>
        <w:t xml:space="preserve">and only the useful compute scales with N³ (matmul FLOPs). At small N there isn’t enough O(N³)</w:t>
      </w:r>
      <w:r>
        <w:t xml:space="preserve"> </w:t>
      </w:r>
      <w:r>
        <w:t xml:space="preserve">parallel work to amortize that fixed overhead and the O(N²) transfer cost, so the CPU — which pays</w:t>
      </w:r>
      <w:r>
        <w:t xml:space="preserve"> </w:t>
      </w:r>
      <w:r>
        <w:t xml:space="preserve">none of that overhead — can win; only once N is large enough for the O(N³) term to dominate does</w:t>
      </w:r>
      <w:r>
        <w:t xml:space="preserve"> </w:t>
      </w:r>
      <w:r>
        <w:t xml:space="preserve">the GPU’s much larger core count start to pay for the round trip across PCIe.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repository-note"/>
    <w:p>
      <w:pPr>
        <w:pStyle w:val="Heading2"/>
      </w:pPr>
      <w:r>
        <w:t xml:space="preserve">Repository note</w:t>
      </w:r>
    </w:p>
    <w:p>
      <w:pPr>
        <w:pStyle w:val="FirstParagraph"/>
      </w:pPr>
      <w:r>
        <w:t xml:space="preserve">Standing-requirement artifacts (</w:t>
      </w:r>
      <w:r>
        <w:rPr>
          <w:rStyle w:val="VerbatimChar"/>
        </w:rPr>
        <w:t xml:space="preserve">RUN_LOG.txt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AI_USE.md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checkpoints/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) accompany this report in the same repository, per Section 0.3.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266 Homework 1</dc:title>
  <dc:creator/>
  <cp:keywords/>
  <dcterms:created xsi:type="dcterms:W3CDTF">2026-09-01T20:04:10Z</dcterms:created>
  <dcterms:modified xsi:type="dcterms:W3CDTF">2026-09-01T20:04:10Z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