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6B33" w14:textId="10D1B00D" w:rsidR="00793BB8" w:rsidRPr="00CA65C2" w:rsidRDefault="00CA65C2" w:rsidP="00CA65C2">
      <w:pPr>
        <w:spacing w:after="360"/>
        <w:rPr>
          <w:rFonts w:ascii="Karla" w:hAnsi="Karla"/>
          <w:sz w:val="40"/>
          <w:szCs w:val="40"/>
        </w:rPr>
      </w:pPr>
      <w:r w:rsidRPr="00CA65C2">
        <w:rPr>
          <w:rFonts w:ascii="Karla" w:hAnsi="Karla"/>
          <w:b/>
          <w:bCs/>
          <w:sz w:val="40"/>
          <w:szCs w:val="40"/>
        </w:rPr>
        <w:t>RANSOMWARE INCIDENT RESPONSE and RECOVERY</w:t>
      </w:r>
    </w:p>
    <w:p w14:paraId="23CC4325" w14:textId="77777777" w:rsidR="00793BB8" w:rsidRPr="00CA65C2" w:rsidRDefault="00793BB8" w:rsidP="00CA65C2">
      <w:pPr>
        <w:jc w:val="both"/>
        <w:rPr>
          <w:rFonts w:ascii="Karla" w:hAnsi="Karla"/>
          <w:sz w:val="32"/>
          <w:szCs w:val="32"/>
        </w:rPr>
      </w:pPr>
      <w:r w:rsidRPr="00CA65C2">
        <w:rPr>
          <w:rFonts w:ascii="Karla" w:hAnsi="Karla"/>
          <w:sz w:val="32"/>
          <w:szCs w:val="32"/>
        </w:rPr>
        <w:t>CYBERSECURITY REPORT</w:t>
      </w:r>
    </w:p>
    <w:p w14:paraId="5CF6A8E6" w14:textId="77777777" w:rsid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Report Reference: IR-2026-014</w:t>
      </w:r>
    </w:p>
    <w:p w14:paraId="5FA353FE" w14:textId="77777777" w:rsid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Incident Category: Ransomware</w:t>
      </w:r>
    </w:p>
    <w:p w14:paraId="0D157BF3" w14:textId="283064C6" w:rsidR="00793BB8" w:rsidRPr="00CA65C2" w:rsidRDefault="00793BB8" w:rsidP="00CA65C2">
      <w:pPr>
        <w:spacing w:after="360"/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Priority: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High</w:t>
      </w:r>
    </w:p>
    <w:p w14:paraId="0C40D78C" w14:textId="61E13AA6" w:rsidR="00793BB8" w:rsidRPr="00CA65C2" w:rsidRDefault="00CA65C2" w:rsidP="00CA65C2">
      <w:pPr>
        <w:jc w:val="both"/>
        <w:rPr>
          <w:rFonts w:ascii="Karla" w:hAnsi="Karla"/>
          <w:sz w:val="28"/>
          <w:szCs w:val="28"/>
        </w:rPr>
      </w:pPr>
      <w:r w:rsidRPr="00CA65C2">
        <w:rPr>
          <w:rFonts w:ascii="Karla" w:hAnsi="Karla"/>
          <w:sz w:val="28"/>
          <w:szCs w:val="28"/>
        </w:rPr>
        <w:t>EXECUTIVE SUMMARY</w:t>
      </w:r>
    </w:p>
    <w:p w14:paraId="5CC78CE8" w14:textId="3C70A0DD" w:rsidR="00793BB8" w:rsidRP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A ransomware incident can disrupt access to business records, interrupt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essential services, and create uncertainty about the confidentiality and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integrity of information. This report describes an incident-response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scenario involving encrypted files on several workstations and a shared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file server. The investigation focuses on initial reporting, evidence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preservation, containment, recovery, and lessons for improving</w:t>
      </w:r>
      <w:r w:rsidR="00CA65C2">
        <w:rPr>
          <w:rFonts w:ascii="Karla" w:hAnsi="Karla"/>
          <w:sz w:val="24"/>
          <w:szCs w:val="24"/>
        </w:rPr>
        <w:t xml:space="preserve"> </w:t>
      </w:r>
      <w:r w:rsidR="00CA65C2" w:rsidRPr="00CA65C2">
        <w:rPr>
          <w:rFonts w:ascii="Karla" w:hAnsi="Karla"/>
          <w:sz w:val="24"/>
          <w:szCs w:val="24"/>
        </w:rPr>
        <w:t>organizational</w:t>
      </w:r>
      <w:r w:rsidRPr="00CA65C2">
        <w:rPr>
          <w:rFonts w:ascii="Karla" w:hAnsi="Karla"/>
          <w:sz w:val="24"/>
          <w:szCs w:val="24"/>
        </w:rPr>
        <w:t xml:space="preserve"> resilience.</w:t>
      </w:r>
    </w:p>
    <w:p w14:paraId="247A2DFC" w14:textId="4106FEAF" w:rsidR="00793BB8" w:rsidRPr="00CA65C2" w:rsidRDefault="00793BB8" w:rsidP="00CA65C2">
      <w:pPr>
        <w:spacing w:after="360"/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The initial notification stated that users could no longer open a number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of documents and that file extensions had changed. A ransom note was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found in a shared directory. The incident team began by identifying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affected devices, recording the time of discovery, and determining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whether the disruption was limited to a single department or had spread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to other network segments.</w:t>
      </w:r>
    </w:p>
    <w:p w14:paraId="7E42D0EB" w14:textId="3374B7D0" w:rsidR="00793BB8" w:rsidRPr="0056069D" w:rsidRDefault="00CA65C2" w:rsidP="00CA65C2">
      <w:pPr>
        <w:jc w:val="both"/>
        <w:rPr>
          <w:rFonts w:ascii="Karla" w:hAnsi="Karla"/>
          <w:sz w:val="28"/>
          <w:szCs w:val="28"/>
        </w:rPr>
      </w:pPr>
      <w:r w:rsidRPr="0056069D">
        <w:rPr>
          <w:rFonts w:ascii="Karla" w:hAnsi="Karla"/>
          <w:sz w:val="28"/>
          <w:szCs w:val="28"/>
        </w:rPr>
        <w:t>THREAT CONTEXT</w:t>
      </w:r>
    </w:p>
    <w:p w14:paraId="6225B8C9" w14:textId="6BD48BDE" w:rsidR="00793BB8" w:rsidRP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Ransomware investigations frequently examine whether access began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through a phishing message, stolen credentials, an exposed remote-access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service, or an unpatched application. Malware names commonly discussed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in this context include LockBit, WannaCry, Ryuk, Conti, REvil, BlackCat,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and Akira. The appearance of a name in an intelligence report does not,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by itself, establish that the corresponding malware was present in a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particular incident.</w:t>
      </w:r>
    </w:p>
    <w:p w14:paraId="3871FF62" w14:textId="3B48733D" w:rsidR="00793BB8" w:rsidRP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Investigators should also distinguish ransomware from related tools that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may be used during an intrusion. Emotet and TrickBot have been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associated with malware operations, while Cobalt Strike is a legitimate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security-testing framework that can also be misused by intruders.</w:t>
      </w:r>
    </w:p>
    <w:p w14:paraId="44335400" w14:textId="0953FC06" w:rsidR="00793BB8" w:rsidRPr="00CA65C2" w:rsidRDefault="00793BB8" w:rsidP="00CA65C2">
      <w:pPr>
        <w:spacing w:after="360"/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Context, telemetry, and corroborating evidence are required before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drawing conclusions.</w:t>
      </w:r>
    </w:p>
    <w:p w14:paraId="002A6A48" w14:textId="34B25024" w:rsidR="00793BB8" w:rsidRPr="0056069D" w:rsidRDefault="00CA65C2" w:rsidP="00CA65C2">
      <w:pPr>
        <w:jc w:val="both"/>
        <w:rPr>
          <w:rFonts w:ascii="Karla" w:hAnsi="Karla"/>
          <w:sz w:val="28"/>
          <w:szCs w:val="28"/>
        </w:rPr>
      </w:pPr>
      <w:r w:rsidRPr="0056069D">
        <w:rPr>
          <w:rFonts w:ascii="Karla" w:hAnsi="Karla"/>
          <w:sz w:val="28"/>
          <w:szCs w:val="28"/>
        </w:rPr>
        <w:t>INVESTIGATION and EVIDENCE</w:t>
      </w:r>
    </w:p>
    <w:p w14:paraId="6B2B6AD7" w14:textId="61560B54" w:rsidR="00793BB8" w:rsidRP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The response team should preserve endpoint alerts, operating-system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event logs, authentication records, firewall events, email headers, and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available file-server audit records. Evidence should be collected with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 xml:space="preserve">timestamps and source details so that </w:t>
      </w:r>
      <w:r w:rsidRPr="00CA65C2">
        <w:rPr>
          <w:rFonts w:ascii="Karla" w:hAnsi="Karla"/>
          <w:sz w:val="24"/>
          <w:szCs w:val="24"/>
        </w:rPr>
        <w:lastRenderedPageBreak/>
        <w:t>investigators can reconstruct the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sequence of events. Where possible, the team should record file hashes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and maintain a clear chain of custody.</w:t>
      </w:r>
    </w:p>
    <w:p w14:paraId="385CE0B7" w14:textId="4D696610" w:rsidR="00793BB8" w:rsidRP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Network indicators may include IP addresses, domain names, URLs, and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unusual outbound connections. An IP address such as 192.0.2.44 or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198.51.100.27 may appear in a report or a log example, but an address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must be assessed in context before being classified as malicious.</w:t>
      </w:r>
    </w:p>
    <w:p w14:paraId="14030078" w14:textId="257F5A09" w:rsidR="00793BB8" w:rsidRPr="00CA65C2" w:rsidRDefault="00793BB8" w:rsidP="00CA65C2">
      <w:pPr>
        <w:spacing w:after="360"/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Vulnerability identifiers may also be mentioned in incident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documentation. CVE-2021-44228, for example, identifies the Log4Shell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vulnerability affecting certain versions of Apache Log4j; whether it is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relevant to a specific incident depends on the affected software and the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evidence collected.</w:t>
      </w:r>
    </w:p>
    <w:p w14:paraId="5235A780" w14:textId="757FF873" w:rsidR="00793BB8" w:rsidRPr="0056069D" w:rsidRDefault="00CA65C2" w:rsidP="00CA65C2">
      <w:pPr>
        <w:jc w:val="both"/>
        <w:rPr>
          <w:rFonts w:ascii="Karla" w:hAnsi="Karla"/>
          <w:sz w:val="28"/>
          <w:szCs w:val="28"/>
        </w:rPr>
      </w:pPr>
      <w:r w:rsidRPr="0056069D">
        <w:rPr>
          <w:rFonts w:ascii="Karla" w:hAnsi="Karla"/>
          <w:sz w:val="28"/>
          <w:szCs w:val="28"/>
        </w:rPr>
        <w:t>CONTAINMENT and RECOVERY</w:t>
      </w:r>
    </w:p>
    <w:p w14:paraId="55638233" w14:textId="1DC12634" w:rsidR="00793BB8" w:rsidRP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Containment may include isolating affected endpoints, disabling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compromised accounts, revoking active sessions, and restricting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suspicious network communication. Actions should be coordinated with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system owners to avoid unnecessary disruption to critical services.</w:t>
      </w:r>
    </w:p>
    <w:p w14:paraId="7EBA18B8" w14:textId="748FF632" w:rsidR="00793BB8" w:rsidRPr="00CA65C2" w:rsidRDefault="00793BB8" w:rsidP="00CA65C2">
      <w:pPr>
        <w:spacing w:after="360"/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Teams should avoid destroying evidence by wiping devices before the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appropriate logs and forensic data have been preserved.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Recovery should use known-good backups and verified system images.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Before reconnecting restored devices, administrators should address the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initial access route, reset affected credentials, apply relevant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security updates, and validate endpoint protection. Backup restoration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should be tested regularly rather than assumed to be reliable.</w:t>
      </w:r>
    </w:p>
    <w:p w14:paraId="445343A1" w14:textId="1EBBED50" w:rsidR="00793BB8" w:rsidRPr="0056069D" w:rsidRDefault="00793BB8" w:rsidP="00CA65C2">
      <w:pPr>
        <w:jc w:val="both"/>
        <w:rPr>
          <w:rFonts w:ascii="Karla" w:hAnsi="Karla"/>
          <w:sz w:val="28"/>
          <w:szCs w:val="28"/>
        </w:rPr>
      </w:pPr>
      <w:r w:rsidRPr="0056069D">
        <w:rPr>
          <w:rFonts w:ascii="Karla" w:hAnsi="Karla"/>
          <w:sz w:val="28"/>
          <w:szCs w:val="28"/>
        </w:rPr>
        <w:t>R</w:t>
      </w:r>
      <w:r w:rsidR="00CA65C2" w:rsidRPr="0056069D">
        <w:rPr>
          <w:rFonts w:ascii="Karla" w:hAnsi="Karla"/>
          <w:sz w:val="28"/>
          <w:szCs w:val="28"/>
        </w:rPr>
        <w:t>ECOMMENDATIONS</w:t>
      </w:r>
    </w:p>
    <w:p w14:paraId="62D00EC2" w14:textId="49A0A419" w:rsidR="00793BB8" w:rsidRPr="00CA65C2" w:rsidRDefault="00CA65C2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Organizations</w:t>
      </w:r>
      <w:r w:rsidR="00793BB8" w:rsidRPr="00CA65C2">
        <w:rPr>
          <w:rFonts w:ascii="Karla" w:hAnsi="Karla"/>
          <w:sz w:val="24"/>
          <w:szCs w:val="24"/>
        </w:rPr>
        <w:t xml:space="preserve"> should maintain offline or immutable backups, enforce</w:t>
      </w:r>
      <w:r>
        <w:rPr>
          <w:rFonts w:ascii="Karla" w:hAnsi="Karla"/>
          <w:sz w:val="24"/>
          <w:szCs w:val="24"/>
        </w:rPr>
        <w:t xml:space="preserve"> </w:t>
      </w:r>
      <w:r w:rsidR="00793BB8" w:rsidRPr="00CA65C2">
        <w:rPr>
          <w:rFonts w:ascii="Karla" w:hAnsi="Karla"/>
          <w:sz w:val="24"/>
          <w:szCs w:val="24"/>
        </w:rPr>
        <w:t>multi-factor authentication, reduce administrative privileges, segment</w:t>
      </w:r>
      <w:r>
        <w:rPr>
          <w:rFonts w:ascii="Karla" w:hAnsi="Karla"/>
          <w:sz w:val="24"/>
          <w:szCs w:val="24"/>
        </w:rPr>
        <w:t xml:space="preserve"> </w:t>
      </w:r>
      <w:r w:rsidR="00793BB8" w:rsidRPr="00CA65C2">
        <w:rPr>
          <w:rFonts w:ascii="Karla" w:hAnsi="Karla"/>
          <w:sz w:val="24"/>
          <w:szCs w:val="24"/>
        </w:rPr>
        <w:t>networks, and apply security updates through a controlled process.</w:t>
      </w:r>
    </w:p>
    <w:p w14:paraId="13DE2A02" w14:textId="29445F32" w:rsidR="00793BB8" w:rsidRPr="00CA65C2" w:rsidRDefault="00793BB8" w:rsidP="00CA65C2">
      <w:pPr>
        <w:spacing w:after="360"/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Employees should have a clear way to report suspicious messages and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 xml:space="preserve">unexpected device </w:t>
      </w:r>
      <w:r w:rsidR="00CA65C2" w:rsidRPr="00CA65C2">
        <w:rPr>
          <w:rFonts w:ascii="Karla" w:hAnsi="Karla"/>
          <w:sz w:val="24"/>
          <w:szCs w:val="24"/>
        </w:rPr>
        <w:t>behavior</w:t>
      </w:r>
      <w:r w:rsidRPr="00CA65C2">
        <w:rPr>
          <w:rFonts w:ascii="Karla" w:hAnsi="Karla"/>
          <w:sz w:val="24"/>
          <w:szCs w:val="24"/>
        </w:rPr>
        <w:t>. Incident-response plans should define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decision-makers, communication responsibilities, evidence-handling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procedures, and recovery priorities.</w:t>
      </w:r>
    </w:p>
    <w:p w14:paraId="4CFE3910" w14:textId="1B884BCF" w:rsidR="00793BB8" w:rsidRPr="0056069D" w:rsidRDefault="00CA65C2" w:rsidP="00CA65C2">
      <w:pPr>
        <w:jc w:val="both"/>
        <w:rPr>
          <w:rFonts w:ascii="Karla" w:hAnsi="Karla"/>
          <w:sz w:val="28"/>
          <w:szCs w:val="28"/>
        </w:rPr>
      </w:pPr>
      <w:r w:rsidRPr="0056069D">
        <w:rPr>
          <w:rFonts w:ascii="Karla" w:hAnsi="Karla"/>
          <w:sz w:val="28"/>
          <w:szCs w:val="28"/>
        </w:rPr>
        <w:t>CONCLUSION</w:t>
      </w:r>
    </w:p>
    <w:p w14:paraId="7F3E9813" w14:textId="35028D30" w:rsidR="00793BB8" w:rsidRPr="00CA65C2" w:rsidRDefault="00793BB8" w:rsidP="00CA65C2">
      <w:pPr>
        <w:jc w:val="both"/>
        <w:rPr>
          <w:rFonts w:ascii="Karla" w:hAnsi="Karla"/>
          <w:sz w:val="24"/>
          <w:szCs w:val="24"/>
        </w:rPr>
      </w:pPr>
      <w:r w:rsidRPr="00CA65C2">
        <w:rPr>
          <w:rFonts w:ascii="Karla" w:hAnsi="Karla"/>
          <w:sz w:val="24"/>
          <w:szCs w:val="24"/>
        </w:rPr>
        <w:t>A structured response reduces uncertainty during a ransomware event.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Automated extraction of malware names, vulnerability identifiers, and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 xml:space="preserve">network indicators can help analysts </w:t>
      </w:r>
      <w:r w:rsidR="00CA65C2" w:rsidRPr="00CA65C2">
        <w:rPr>
          <w:rFonts w:ascii="Karla" w:hAnsi="Karla"/>
          <w:sz w:val="24"/>
          <w:szCs w:val="24"/>
        </w:rPr>
        <w:t>organize</w:t>
      </w:r>
      <w:r w:rsidRPr="00CA65C2">
        <w:rPr>
          <w:rFonts w:ascii="Karla" w:hAnsi="Karla"/>
          <w:sz w:val="24"/>
          <w:szCs w:val="24"/>
        </w:rPr>
        <w:t xml:space="preserve"> lengthy reports, but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extracted terms should be reviewed alongside reliable evidence before</w:t>
      </w:r>
      <w:r w:rsidR="00CA65C2">
        <w:rPr>
          <w:rFonts w:ascii="Karla" w:hAnsi="Karla"/>
          <w:sz w:val="24"/>
          <w:szCs w:val="24"/>
        </w:rPr>
        <w:t xml:space="preserve"> </w:t>
      </w:r>
      <w:r w:rsidRPr="00CA65C2">
        <w:rPr>
          <w:rFonts w:ascii="Karla" w:hAnsi="Karla"/>
          <w:sz w:val="24"/>
          <w:szCs w:val="24"/>
        </w:rPr>
        <w:t>being treated as findings.</w:t>
      </w:r>
    </w:p>
    <w:sectPr w:rsidR="00793BB8" w:rsidRPr="00CA65C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rla">
    <w:panose1 w:val="020B0004030503030003"/>
    <w:charset w:val="00"/>
    <w:family w:val="swiss"/>
    <w:pitch w:val="variable"/>
    <w:sig w:usb0="A00000E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953227">
    <w:abstractNumId w:val="8"/>
  </w:num>
  <w:num w:numId="2" w16cid:durableId="373887064">
    <w:abstractNumId w:val="6"/>
  </w:num>
  <w:num w:numId="3" w16cid:durableId="2094429110">
    <w:abstractNumId w:val="5"/>
  </w:num>
  <w:num w:numId="4" w16cid:durableId="305088218">
    <w:abstractNumId w:val="4"/>
  </w:num>
  <w:num w:numId="5" w16cid:durableId="1388383537">
    <w:abstractNumId w:val="7"/>
  </w:num>
  <w:num w:numId="6" w16cid:durableId="767122938">
    <w:abstractNumId w:val="3"/>
  </w:num>
  <w:num w:numId="7" w16cid:durableId="782380847">
    <w:abstractNumId w:val="2"/>
  </w:num>
  <w:num w:numId="8" w16cid:durableId="1115640590">
    <w:abstractNumId w:val="1"/>
  </w:num>
  <w:num w:numId="9" w16cid:durableId="170918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26C"/>
    <w:rsid w:val="0029639D"/>
    <w:rsid w:val="00326F90"/>
    <w:rsid w:val="003E2850"/>
    <w:rsid w:val="0056069D"/>
    <w:rsid w:val="00793BB8"/>
    <w:rsid w:val="00892304"/>
    <w:rsid w:val="00AA1D8D"/>
    <w:rsid w:val="00B47730"/>
    <w:rsid w:val="00CA65C2"/>
    <w:rsid w:val="00CB0664"/>
    <w:rsid w:val="00D71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BF730"/>
  <w14:defaultImageDpi w14:val="300"/>
  <w15:docId w15:val="{AE95EA4D-1D81-4122-B378-5F87F45C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Parv Naik</cp:lastModifiedBy>
  <cp:revision>3</cp:revision>
  <dcterms:created xsi:type="dcterms:W3CDTF">2026-10-28T05:42:00Z</dcterms:created>
  <dcterms:modified xsi:type="dcterms:W3CDTF">2026-10-28T05:42:00Z</dcterms:modified>
  <cp:category/>
</cp:coreProperties>
</file>