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EEA0A" w14:textId="77777777" w:rsidR="0096664F" w:rsidRPr="00FB444E" w:rsidRDefault="00FB444E">
      <w:pPr>
        <w:rPr>
          <w:b/>
          <w:bCs/>
        </w:rPr>
      </w:pPr>
      <w:r>
        <w:rPr>
          <w:b/>
          <w:bCs/>
        </w:rPr>
        <w:t>Transformatorul</w:t>
      </w:r>
    </w:p>
    <w:p w14:paraId="1F4553AE" w14:textId="77777777" w:rsidR="0096664F" w:rsidRDefault="0096664F"/>
    <w:p w14:paraId="41A81014" w14:textId="77777777" w:rsidR="0096664F" w:rsidRDefault="0096664F" w:rsidP="0096664F">
      <w:pPr>
        <w:jc w:val="both"/>
      </w:pPr>
      <w:r>
        <w:t xml:space="preserve">Un </w:t>
      </w:r>
      <w:r>
        <w:rPr>
          <w:b/>
          <w:bCs/>
        </w:rPr>
        <w:t>transformator</w:t>
      </w:r>
      <w:r>
        <w:t xml:space="preserve"> este un dispozitiv electric static care transferă energie electrică dintr-un circuit (primarul transformatorului) în altul (secundarul transformatorului), funcționând pe baza </w:t>
      </w:r>
      <w:r w:rsidRPr="0096664F">
        <w:t>legii inducției electromagnetice</w:t>
      </w:r>
      <w:r>
        <w:t>. Un curent electric alternativ care străbate înfășurarea primară produce un câmp magnetic în miezul magnetic al transformatorului, acesta la rândul lui producând o tensiune electrică alternativă în înfășurarea secundară.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FB444E" w14:paraId="2C2B088D" w14:textId="77777777" w:rsidTr="00FB444E">
        <w:tc>
          <w:tcPr>
            <w:tcW w:w="4814" w:type="dxa"/>
            <w:vAlign w:val="center"/>
          </w:tcPr>
          <w:p w14:paraId="677DAF3F" w14:textId="77777777" w:rsidR="00FB444E" w:rsidRDefault="00FB444E" w:rsidP="0096664F">
            <w:pPr>
              <w:jc w:val="center"/>
            </w:pPr>
            <w:r>
              <w:rPr>
                <w:noProof/>
              </w:rPr>
              <w:drawing>
                <wp:inline distT="0" distB="0" distL="0" distR="0" wp14:anchorId="52DB2F7B" wp14:editId="3DB968B6">
                  <wp:extent cx="2491200" cy="2649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1200" cy="2649600"/>
                          </a:xfrm>
                          <a:prstGeom prst="rect">
                            <a:avLst/>
                          </a:prstGeom>
                          <a:noFill/>
                          <a:ln>
                            <a:noFill/>
                          </a:ln>
                        </pic:spPr>
                      </pic:pic>
                    </a:graphicData>
                  </a:graphic>
                </wp:inline>
              </w:drawing>
            </w:r>
          </w:p>
        </w:tc>
        <w:tc>
          <w:tcPr>
            <w:tcW w:w="4815" w:type="dxa"/>
            <w:vMerge w:val="restart"/>
          </w:tcPr>
          <w:p w14:paraId="5BB8F7E0" w14:textId="77777777" w:rsidR="00FB444E" w:rsidRDefault="00FB444E" w:rsidP="0096664F">
            <w:pPr>
              <w:jc w:val="both"/>
            </w:pPr>
            <w:r>
              <w:t>La un transformator coborâtor de tensiune, ca cel utilizat la Practică, primarul are un număr mare de spire și este realizat cu sârmă mai subțire, iar secundarul are un număr mai mic de spire, dar realizat cu sârmă mai groasă (fig.1).</w:t>
            </w:r>
          </w:p>
          <w:p w14:paraId="620A2D1B" w14:textId="77777777" w:rsidR="00FB444E" w:rsidRDefault="00FB444E" w:rsidP="0096664F">
            <w:pPr>
              <w:jc w:val="both"/>
              <w:rPr>
                <w:lang w:val="ro-RO"/>
              </w:rPr>
            </w:pPr>
            <w:r>
              <w:rPr>
                <w:lang w:val="ro-RO"/>
              </w:rPr>
              <w:t>Schema de principiu a unui transformator se prezintă în fig. 2:</w:t>
            </w:r>
          </w:p>
          <w:p w14:paraId="3B7151C1" w14:textId="77777777" w:rsidR="00FB444E" w:rsidRDefault="00FB444E" w:rsidP="0096664F">
            <w:pPr>
              <w:jc w:val="both"/>
              <w:rPr>
                <w:lang w:val="ro-RO"/>
              </w:rPr>
            </w:pPr>
          </w:p>
          <w:p w14:paraId="055A3701" w14:textId="73F20589" w:rsidR="00FB444E" w:rsidRDefault="00F9209F" w:rsidP="00FB444E">
            <w:pPr>
              <w:jc w:val="center"/>
              <w:rPr>
                <w:lang w:val="ro-RO"/>
              </w:rPr>
            </w:pPr>
            <w:r>
              <w:object w:dxaOrig="4284" w:dyaOrig="2592" w14:anchorId="65DE5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05pt;height:96.8pt" o:ole="">
                  <v:imagedata r:id="rId7" o:title=""/>
                </v:shape>
                <o:OLEObject Type="Embed" ProgID="PBrush" ShapeID="_x0000_i1025" DrawAspect="Content" ObjectID="_1650132633" r:id="rId8"/>
              </w:object>
            </w:r>
          </w:p>
          <w:p w14:paraId="70FCC554" w14:textId="77777777" w:rsidR="00FB444E" w:rsidRPr="00FB444E" w:rsidRDefault="00FB444E" w:rsidP="00FB444E">
            <w:pPr>
              <w:jc w:val="center"/>
              <w:rPr>
                <w:i/>
                <w:iCs/>
                <w:lang w:val="ro-RO"/>
              </w:rPr>
            </w:pPr>
            <w:r w:rsidRPr="00FB444E">
              <w:rPr>
                <w:b/>
                <w:bCs/>
                <w:sz w:val="20"/>
                <w:szCs w:val="18"/>
                <w:lang w:val="ro-RO"/>
              </w:rPr>
              <w:t>Fig. 2.</w:t>
            </w:r>
            <w:r w:rsidRPr="00FB444E">
              <w:rPr>
                <w:sz w:val="20"/>
                <w:szCs w:val="18"/>
                <w:lang w:val="ro-RO"/>
              </w:rPr>
              <w:t xml:space="preserve"> </w:t>
            </w:r>
            <w:r w:rsidRPr="00FB444E">
              <w:rPr>
                <w:i/>
                <w:iCs/>
                <w:sz w:val="20"/>
                <w:szCs w:val="18"/>
                <w:lang w:val="ro-RO"/>
              </w:rPr>
              <w:t>Schema de principiu a unui transformator</w:t>
            </w:r>
          </w:p>
        </w:tc>
      </w:tr>
      <w:tr w:rsidR="00FB444E" w14:paraId="58F8D7BC" w14:textId="77777777" w:rsidTr="00FB444E">
        <w:tc>
          <w:tcPr>
            <w:tcW w:w="4814" w:type="dxa"/>
            <w:vAlign w:val="center"/>
          </w:tcPr>
          <w:p w14:paraId="09F3C565" w14:textId="77777777" w:rsidR="00FB444E" w:rsidRPr="0096664F" w:rsidRDefault="00FB444E" w:rsidP="0096664F">
            <w:pPr>
              <w:jc w:val="center"/>
              <w:rPr>
                <w:i/>
                <w:iCs/>
                <w:sz w:val="20"/>
                <w:szCs w:val="18"/>
              </w:rPr>
            </w:pPr>
            <w:r w:rsidRPr="0096664F">
              <w:rPr>
                <w:b/>
                <w:bCs/>
                <w:sz w:val="20"/>
                <w:szCs w:val="18"/>
              </w:rPr>
              <w:t xml:space="preserve">Fig. 1. </w:t>
            </w:r>
            <w:r w:rsidRPr="0096664F">
              <w:rPr>
                <w:i/>
                <w:iCs/>
                <w:sz w:val="20"/>
                <w:szCs w:val="18"/>
              </w:rPr>
              <w:t>Transformatorul</w:t>
            </w:r>
          </w:p>
        </w:tc>
        <w:tc>
          <w:tcPr>
            <w:tcW w:w="4815" w:type="dxa"/>
            <w:vMerge/>
            <w:vAlign w:val="center"/>
          </w:tcPr>
          <w:p w14:paraId="67E861B2" w14:textId="77777777" w:rsidR="00FB444E" w:rsidRPr="0096664F" w:rsidRDefault="00FB444E" w:rsidP="0096664F">
            <w:pPr>
              <w:jc w:val="center"/>
              <w:rPr>
                <w:i/>
                <w:iCs/>
                <w:sz w:val="20"/>
                <w:szCs w:val="18"/>
              </w:rPr>
            </w:pPr>
          </w:p>
        </w:tc>
      </w:tr>
    </w:tbl>
    <w:p w14:paraId="5D791A9E" w14:textId="77777777" w:rsidR="0096664F" w:rsidRDefault="0096664F" w:rsidP="0096664F">
      <w:pPr>
        <w:jc w:val="both"/>
      </w:pPr>
    </w:p>
    <w:p w14:paraId="09FEF8A4" w14:textId="77777777" w:rsidR="0096664F" w:rsidRPr="00FB444E" w:rsidRDefault="00FB444E" w:rsidP="00FB444E">
      <w:pPr>
        <w:jc w:val="both"/>
        <w:rPr>
          <w:b/>
          <w:bCs/>
        </w:rPr>
      </w:pPr>
      <w:r>
        <w:rPr>
          <w:b/>
          <w:bCs/>
        </w:rPr>
        <w:t>Ecuațiile transformatorului ideal</w:t>
      </w:r>
    </w:p>
    <w:p w14:paraId="15956BDF" w14:textId="77777777" w:rsidR="00DD7C1A" w:rsidRDefault="00DD7C1A"/>
    <w:p w14:paraId="2057F7A5" w14:textId="77777777" w:rsidR="0096664F" w:rsidRDefault="00DD7C1A">
      <w:r>
        <w:t>Conform</w:t>
      </w:r>
      <w:r w:rsidR="00862451">
        <w:t xml:space="preserve"> Leg</w:t>
      </w:r>
      <w:r>
        <w:t>ii</w:t>
      </w:r>
      <w:r w:rsidR="00862451">
        <w:t xml:space="preserve"> inducției electromagnetice (Faraday, 1831)</w:t>
      </w:r>
    </w:p>
    <w:p w14:paraId="69C4402B" w14:textId="07693776" w:rsidR="0096664F" w:rsidRPr="00862451" w:rsidRDefault="00F17C8C">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r>
            <w:rPr>
              <w:rFonts w:ascii="Cambria Math" w:hAnsi="Cambria Math"/>
            </w:rPr>
            <m:t xml:space="preserve">     (1)</m:t>
          </m:r>
        </m:oMath>
      </m:oMathPara>
    </w:p>
    <w:p w14:paraId="28DE998C" w14:textId="3E8D7BE5" w:rsidR="0096664F" w:rsidRPr="00862451" w:rsidRDefault="00F17C8C">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r>
            <w:rPr>
              <w:rFonts w:ascii="Cambria Math" w:hAnsi="Cambria Math"/>
            </w:rPr>
            <m:t xml:space="preserve">      (2)</m:t>
          </m:r>
        </m:oMath>
      </m:oMathPara>
    </w:p>
    <w:p w14:paraId="7EB56739" w14:textId="77777777" w:rsidR="0096664F" w:rsidRDefault="00DD7C1A">
      <w:r>
        <w:t xml:space="preserve">Din rel. (1) și (2) </w:t>
      </w:r>
      <w:r w:rsidR="00862451">
        <w:t>rezultă</w:t>
      </w:r>
    </w:p>
    <w:p w14:paraId="1045EDF8" w14:textId="47D6423C" w:rsidR="0096664F" w:rsidRPr="00862451" w:rsidRDefault="00F17C8C">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=k        (3)</m:t>
          </m:r>
        </m:oMath>
      </m:oMathPara>
    </w:p>
    <w:p w14:paraId="65C70B19" w14:textId="77777777" w:rsidR="00862451" w:rsidRPr="00862451" w:rsidRDefault="00862451" w:rsidP="00A662D4">
      <w:pPr>
        <w:jc w:val="both"/>
      </w:pPr>
      <w:r>
        <w:t xml:space="preserve">unde </w:t>
      </w:r>
      <w:r>
        <w:rPr>
          <w:i/>
          <w:iCs/>
        </w:rPr>
        <w:t>k</w:t>
      </w:r>
      <w:r>
        <w:t xml:space="preserve"> este </w:t>
      </w:r>
      <w:r w:rsidRPr="00862451">
        <w:rPr>
          <w:i/>
          <w:iCs/>
        </w:rPr>
        <w:t>raportul de transformare</w:t>
      </w:r>
      <w:r>
        <w:t xml:space="preserve"> și </w:t>
      </w:r>
      <m:oMath>
        <m:r>
          <w:rPr>
            <w:rFonts w:ascii="Cambria Math" w:hAnsi="Cambria Math"/>
          </w:rPr>
          <m:t>k&gt;1</m:t>
        </m:r>
      </m:oMath>
      <w:r>
        <w:t xml:space="preserve"> la un transformator coborâtor de tensiune, iar la un transformator ridic</w:t>
      </w:r>
      <w:r w:rsidR="00A662D4">
        <w:t>ă</w:t>
      </w:r>
      <w:r>
        <w:t xml:space="preserve">tor de tensiune </w:t>
      </w:r>
      <m:oMath>
        <m:r>
          <w:rPr>
            <w:rFonts w:ascii="Cambria Math" w:hAnsi="Cambria Math"/>
          </w:rPr>
          <m:t>k&lt;1</m:t>
        </m:r>
      </m:oMath>
      <w:r>
        <w:rPr>
          <w:rFonts w:eastAsiaTheme="minorEastAsia"/>
        </w:rPr>
        <w:t>.</w:t>
      </w:r>
    </w:p>
    <w:p w14:paraId="2001AD47" w14:textId="77777777" w:rsidR="00862451" w:rsidRPr="00A662D4" w:rsidRDefault="00A662D4">
      <w:pPr>
        <w:rPr>
          <w:lang w:val="ro-RO"/>
        </w:rPr>
      </w:pPr>
      <w:r>
        <w:t>Legea conservării energiei ne permite să scriem</w:t>
      </w:r>
    </w:p>
    <w:p w14:paraId="7B61458C" w14:textId="40169F6D" w:rsidR="00862451" w:rsidRPr="00F9209F" w:rsidRDefault="00A662D4">
      <w:pPr>
        <w:rPr>
          <w:rFonts w:eastAsiaTheme="minorEastAsia"/>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 xml:space="preserve">     (4)</m:t>
          </m:r>
        </m:oMath>
      </m:oMathPara>
    </w:p>
    <w:p w14:paraId="3A77620F" w14:textId="46D3008F" w:rsidR="00F9209F" w:rsidRPr="00A662D4" w:rsidRDefault="00F9209F">
      <w:r>
        <w:rPr>
          <w:rFonts w:eastAsiaTheme="minorEastAsia"/>
        </w:rPr>
        <w:t xml:space="preserve">unde </w:t>
      </w:r>
      <w:r w:rsidRPr="00F9209F">
        <w:rPr>
          <w:rFonts w:eastAsiaTheme="minorEastAsia"/>
          <w:i/>
          <w:iCs/>
        </w:rPr>
        <w:t>S</w:t>
      </w:r>
      <w:r>
        <w:rPr>
          <w:rFonts w:eastAsiaTheme="minorEastAsia"/>
        </w:rPr>
        <w:t xml:space="preserve"> este puterea aparentă.</w:t>
      </w:r>
    </w:p>
    <w:p w14:paraId="5DB5F402" w14:textId="77777777" w:rsidR="00A662D4" w:rsidRDefault="00245317">
      <w:r>
        <w:t>Inductanța fiecărei înfășurări a unui transformator este proporțională cu pătratul numărului de spire</w:t>
      </w:r>
    </w:p>
    <w:p w14:paraId="285EDD26" w14:textId="5F8C1B8E" w:rsidR="00A662D4" w:rsidRPr="00245317" w:rsidRDefault="00F17C8C">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e>
          </m:rad>
          <m:r>
            <w:rPr>
              <w:rFonts w:ascii="Cambria Math" w:hAnsi="Cambria Math"/>
            </w:rPr>
            <m:t xml:space="preserve">     (5)</m:t>
          </m:r>
        </m:oMath>
      </m:oMathPara>
    </w:p>
    <w:p w14:paraId="5A56CE46" w14:textId="77777777" w:rsidR="00A662D4" w:rsidRDefault="00245317">
      <w:r>
        <w:t xml:space="preserve">Combinând relațiile </w:t>
      </w:r>
      <w:r w:rsidR="00DD7C1A">
        <w:t>rel. (3), (4) și (5)</w:t>
      </w:r>
      <w:r>
        <w:t>, rezultă</w:t>
      </w:r>
    </w:p>
    <w:p w14:paraId="4F343A9B" w14:textId="71B405BF" w:rsidR="0096664F" w:rsidRPr="00245317" w:rsidRDefault="00F17C8C">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e>
          </m:rad>
          <m:r>
            <w:rPr>
              <w:rFonts w:ascii="Cambria Math" w:hAnsi="Cambria Math"/>
            </w:rPr>
            <m:t xml:space="preserve">     (6)</m:t>
          </m:r>
        </m:oMath>
      </m:oMathPara>
    </w:p>
    <w:p w14:paraId="21B92AB8" w14:textId="77777777" w:rsidR="00245317" w:rsidRDefault="00245317">
      <w:pPr>
        <w:rPr>
          <w:rFonts w:eastAsiaTheme="minorEastAsia"/>
        </w:rPr>
      </w:pPr>
    </w:p>
    <w:p w14:paraId="57A8A996" w14:textId="59F76D9B" w:rsidR="00856770" w:rsidRDefault="00856770">
      <w:r>
        <w:br w:type="page"/>
      </w:r>
    </w:p>
    <w:p w14:paraId="0434CA4C" w14:textId="682D0420" w:rsidR="00245317" w:rsidRPr="00856770" w:rsidRDefault="00856770">
      <w:pPr>
        <w:rPr>
          <w:b/>
          <w:bCs/>
        </w:rPr>
      </w:pPr>
      <w:r>
        <w:rPr>
          <w:b/>
          <w:bCs/>
        </w:rPr>
        <w:lastRenderedPageBreak/>
        <w:t>Transformatorul de la Practică</w:t>
      </w:r>
    </w:p>
    <w:p w14:paraId="55EF8387" w14:textId="77777777" w:rsidR="00F9209F" w:rsidRDefault="00F9209F"/>
    <w:p w14:paraId="7C7ECA09" w14:textId="01272628" w:rsidR="00C73A08" w:rsidRDefault="00856770">
      <w:r>
        <w:t xml:space="preserve">Este un </w:t>
      </w:r>
      <w:r w:rsidRPr="00F9209F">
        <w:rPr>
          <w:i/>
          <w:iCs/>
        </w:rPr>
        <w:t>transformator cu punct median în secundar</w:t>
      </w:r>
      <w:r>
        <w:t>.</w:t>
      </w:r>
    </w:p>
    <w:p w14:paraId="4A9867BB" w14:textId="130FCB31" w:rsidR="00856770" w:rsidRPr="00856770" w:rsidRDefault="00856770" w:rsidP="00856770">
      <w:pPr>
        <w:jc w:val="both"/>
        <w:rPr>
          <w:lang w:val="ro-RO"/>
        </w:rPr>
      </w:pPr>
      <w:r>
        <w:t xml:space="preserve">Modelul SPICE </w:t>
      </w:r>
      <w:r w:rsidR="00F9209F">
        <w:t xml:space="preserve">al transformatorului, care este componenta cu numele </w:t>
      </w:r>
      <w:r w:rsidR="00F9209F" w:rsidRPr="00F9209F">
        <w:rPr>
          <w:b/>
          <w:bCs/>
        </w:rPr>
        <w:t>XFRM_LIN/CT-SEC</w:t>
      </w:r>
      <w:r w:rsidR="00F9209F">
        <w:t xml:space="preserve">, </w:t>
      </w:r>
      <w:r>
        <w:t>este prezentat în fig. 3 iar alături este descrierea tip text a transformatorului. Se remarcă micile rezistențe (&lt;</w:t>
      </w:r>
      <w:r>
        <w:rPr>
          <w:lang w:val="ro-RO"/>
        </w:rPr>
        <w:t xml:space="preserve"> 1ohm) conectate în serie cu bobinele pentru a modela rezistența finită a firelor de cupru cu care sunt realizate bobinele.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4A5F30" w14:paraId="4C494CAC" w14:textId="77777777" w:rsidTr="004A5F30">
        <w:tc>
          <w:tcPr>
            <w:tcW w:w="4814" w:type="dxa"/>
            <w:vAlign w:val="center"/>
          </w:tcPr>
          <w:p w14:paraId="7F43B27A" w14:textId="57FC99C2" w:rsidR="004A5F30" w:rsidRDefault="00B955AE" w:rsidP="00856770">
            <w:pPr>
              <w:jc w:val="center"/>
            </w:pPr>
            <w:r w:rsidRPr="00B955AE">
              <w:rPr>
                <w:noProof/>
              </w:rPr>
              <w:drawing>
                <wp:inline distT="0" distB="0" distL="0" distR="0" wp14:anchorId="01412B65" wp14:editId="3A7C2B1B">
                  <wp:extent cx="2458800" cy="18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800" cy="1886400"/>
                          </a:xfrm>
                          <a:prstGeom prst="rect">
                            <a:avLst/>
                          </a:prstGeom>
                          <a:noFill/>
                          <a:ln>
                            <a:noFill/>
                          </a:ln>
                        </pic:spPr>
                      </pic:pic>
                    </a:graphicData>
                  </a:graphic>
                </wp:inline>
              </w:drawing>
            </w:r>
          </w:p>
        </w:tc>
        <w:tc>
          <w:tcPr>
            <w:tcW w:w="4815" w:type="dxa"/>
          </w:tcPr>
          <w:p w14:paraId="77FBE1A5"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Ideal Transformer with Center-tapped Secondary</w:t>
            </w:r>
          </w:p>
          <w:p w14:paraId="150C6C95"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xml:space="preserve">.subckt XFRM_LIN/CT-SEC 1 3 4 5 6 Params: </w:t>
            </w:r>
          </w:p>
          <w:p w14:paraId="18AE4A80"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xml:space="preserve">+ Lp_value=20mh </w:t>
            </w:r>
          </w:p>
          <w:p w14:paraId="716CD714"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xml:space="preserve">+ Ls1_value=10mh </w:t>
            </w:r>
          </w:p>
          <w:p w14:paraId="77841E83"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xml:space="preserve">+ Ls2_value=10mh </w:t>
            </w:r>
          </w:p>
          <w:p w14:paraId="2293785C"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xml:space="preserve">+ Coupling=.99 </w:t>
            </w:r>
          </w:p>
          <w:p w14:paraId="0E7D2323"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Rp_value=.25</w:t>
            </w:r>
          </w:p>
          <w:p w14:paraId="71B9B4A7"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 Rs_value=.25</w:t>
            </w:r>
          </w:p>
          <w:p w14:paraId="7C545AAF"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Lp1 7 2 {Lp_value/2}</w:t>
            </w:r>
          </w:p>
          <w:p w14:paraId="4B27DAB1"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Lp2 2 8 {Lp_value/2}</w:t>
            </w:r>
          </w:p>
          <w:p w14:paraId="52FDA086"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Ls1 9 5 {Ls1_value}</w:t>
            </w:r>
          </w:p>
          <w:p w14:paraId="670427EB"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Ls2 5 10 {Ls2_value}</w:t>
            </w:r>
          </w:p>
          <w:p w14:paraId="257C4A26"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Rp1 1 7 {Rp_value/2}</w:t>
            </w:r>
          </w:p>
          <w:p w14:paraId="2C355D3C"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Rp2 8 3 {Rp_value/2}</w:t>
            </w:r>
          </w:p>
          <w:p w14:paraId="1646A0F0"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Rs1 9 4 {Rs_value/2}</w:t>
            </w:r>
            <w:r w:rsidRPr="00F9209F">
              <w:rPr>
                <w:rFonts w:ascii="Courier New" w:hAnsi="Courier New" w:cs="Courier New"/>
                <w:color w:val="0070C0"/>
                <w:sz w:val="18"/>
                <w:szCs w:val="18"/>
                <w:lang w:val="ro-RO"/>
              </w:rPr>
              <w:tab/>
            </w:r>
          </w:p>
          <w:p w14:paraId="2E98DE5F"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Rs2 10 6 {Rs_value/2}</w:t>
            </w:r>
          </w:p>
          <w:p w14:paraId="3997AB6B"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K1 Lp1 Lp2 Ls1 Ls2 {coupling}</w:t>
            </w:r>
          </w:p>
          <w:p w14:paraId="026BF2C3" w14:textId="77777777" w:rsidR="004A5F30" w:rsidRPr="00F9209F" w:rsidRDefault="004A5F30" w:rsidP="004A5F30">
            <w:pPr>
              <w:autoSpaceDE w:val="0"/>
              <w:autoSpaceDN w:val="0"/>
              <w:adjustRightInd w:val="0"/>
              <w:rPr>
                <w:rFonts w:ascii="Courier New" w:hAnsi="Courier New" w:cs="Courier New"/>
                <w:color w:val="0070C0"/>
                <w:sz w:val="18"/>
                <w:szCs w:val="18"/>
                <w:lang w:val="ro-RO"/>
              </w:rPr>
            </w:pPr>
            <w:r w:rsidRPr="00F9209F">
              <w:rPr>
                <w:rFonts w:ascii="Courier New" w:hAnsi="Courier New" w:cs="Courier New"/>
                <w:color w:val="0070C0"/>
                <w:sz w:val="18"/>
                <w:szCs w:val="18"/>
                <w:lang w:val="ro-RO"/>
              </w:rPr>
              <w:t>.ends</w:t>
            </w:r>
          </w:p>
          <w:p w14:paraId="6322E21D" w14:textId="0918406B" w:rsidR="00F9209F" w:rsidRPr="00F9209F" w:rsidRDefault="00F9209F" w:rsidP="004A5F30">
            <w:pPr>
              <w:autoSpaceDE w:val="0"/>
              <w:autoSpaceDN w:val="0"/>
              <w:adjustRightInd w:val="0"/>
              <w:rPr>
                <w:rFonts w:ascii="Courier New" w:hAnsi="Courier New" w:cs="Courier New"/>
                <w:color w:val="0070C0"/>
                <w:sz w:val="18"/>
                <w:szCs w:val="18"/>
                <w:lang w:val="ro-RO"/>
              </w:rPr>
            </w:pPr>
          </w:p>
        </w:tc>
      </w:tr>
      <w:tr w:rsidR="004A5F30" w14:paraId="1797FA4A" w14:textId="77777777" w:rsidTr="004A5F30">
        <w:tc>
          <w:tcPr>
            <w:tcW w:w="9629" w:type="dxa"/>
            <w:gridSpan w:val="2"/>
            <w:vAlign w:val="center"/>
          </w:tcPr>
          <w:p w14:paraId="6D7E0BCF" w14:textId="2DCAF623" w:rsidR="004A5F30" w:rsidRPr="004A5F30" w:rsidRDefault="004A5F30" w:rsidP="004A5F30">
            <w:pPr>
              <w:jc w:val="center"/>
              <w:rPr>
                <w:b/>
                <w:bCs/>
                <w:sz w:val="20"/>
                <w:szCs w:val="18"/>
              </w:rPr>
            </w:pPr>
            <w:r>
              <w:rPr>
                <w:b/>
                <w:bCs/>
                <w:sz w:val="20"/>
                <w:szCs w:val="18"/>
              </w:rPr>
              <w:t>Fig. 3.</w:t>
            </w:r>
          </w:p>
        </w:tc>
      </w:tr>
    </w:tbl>
    <w:p w14:paraId="22E90F4F" w14:textId="3702C03C" w:rsidR="00C73A08" w:rsidRDefault="00C73A08"/>
    <w:p w14:paraId="7F957D8F" w14:textId="41A7C669" w:rsidR="007873D6" w:rsidRPr="007873D6" w:rsidRDefault="007873D6" w:rsidP="007873D6">
      <w:pPr>
        <w:jc w:val="both"/>
        <w:rPr>
          <w:lang w:val="ro-RO"/>
        </w:rPr>
      </w:pPr>
      <w:r>
        <w:t>Datorită existenței acelor mici rezistențe, o sursă de semnal sinusoidal de tipul VSIN poate fi conectată direct, fără să existe pericolul de aparăție a unui curent infinit, deci o stare de nedeterminare.</w:t>
      </w:r>
    </w:p>
    <w:p w14:paraId="61FCFF59" w14:textId="585B5102" w:rsidR="00C73A08" w:rsidRDefault="006B2687">
      <w:r>
        <w:t>Atât primarul cât și secundarul sunt alcătuite din câte două bobine înseriate, dar avem acces doar la punctul median din secundar</w:t>
      </w:r>
      <w:r w:rsidR="005B0605">
        <w:t xml:space="preserve"> (borna 5</w:t>
      </w:r>
      <w:r w:rsidR="00FB11E7">
        <w:t xml:space="preserve"> de pe fig. 3</w:t>
      </w:r>
      <w:r w:rsidR="005B0605">
        <w:t>).</w:t>
      </w:r>
    </w:p>
    <w:p w14:paraId="1F3BC401" w14:textId="576FE2A6" w:rsidR="00C73A08" w:rsidRDefault="005B0605" w:rsidP="005B0605">
      <w:pPr>
        <w:jc w:val="both"/>
      </w:pPr>
      <w:r>
        <w:t xml:space="preserve">Parametrii prin care definim transformatorul sunt: </w:t>
      </w:r>
      <w:r w:rsidRPr="005B0605">
        <w:rPr>
          <w:i/>
          <w:iCs/>
        </w:rPr>
        <w:t>Lp</w:t>
      </w:r>
      <w:r>
        <w:t xml:space="preserve">, </w:t>
      </w:r>
      <w:r w:rsidRPr="005B0605">
        <w:rPr>
          <w:i/>
          <w:iCs/>
        </w:rPr>
        <w:t>Ls</w:t>
      </w:r>
      <w:r>
        <w:t xml:space="preserve">1, </w:t>
      </w:r>
      <w:r w:rsidRPr="005B0605">
        <w:rPr>
          <w:i/>
          <w:iCs/>
        </w:rPr>
        <w:t>Ls</w:t>
      </w:r>
      <w:r>
        <w:t xml:space="preserve">2, </w:t>
      </w:r>
      <w:r w:rsidRPr="005B0605">
        <w:rPr>
          <w:i/>
          <w:iCs/>
        </w:rPr>
        <w:t>Rp</w:t>
      </w:r>
      <w:r>
        <w:t xml:space="preserve">, </w:t>
      </w:r>
      <w:r w:rsidRPr="005B0605">
        <w:rPr>
          <w:i/>
          <w:iCs/>
        </w:rPr>
        <w:t>Rs</w:t>
      </w:r>
      <w:r>
        <w:t xml:space="preserve"> și </w:t>
      </w:r>
      <w:r w:rsidRPr="005B0605">
        <w:rPr>
          <w:i/>
          <w:iCs/>
        </w:rPr>
        <w:t>Coupling</w:t>
      </w:r>
      <w:r>
        <w:t xml:space="preserve"> (factorul de cuplaj dintre bobine). La un transformator ideal, </w:t>
      </w:r>
      <w:r w:rsidRPr="005B0605">
        <w:rPr>
          <w:i/>
          <w:iCs/>
        </w:rPr>
        <w:t>Coupling</w:t>
      </w:r>
      <w:r w:rsidR="007873D6">
        <w:t xml:space="preserve"> </w:t>
      </w:r>
      <w:r>
        <w:t>=</w:t>
      </w:r>
      <w:r w:rsidR="007873D6">
        <w:t xml:space="preserve"> </w:t>
      </w:r>
      <w:r>
        <w:t>1.</w:t>
      </w:r>
    </w:p>
    <w:p w14:paraId="2566237E" w14:textId="28755BC9" w:rsidR="005B0605" w:rsidRPr="005B0605" w:rsidRDefault="005B0605" w:rsidP="005B0605">
      <w:pPr>
        <w:jc w:val="both"/>
      </w:pPr>
      <w:r>
        <w:t xml:space="preserve">Alegând o valoare pentru </w:t>
      </w:r>
      <w:r>
        <w:rPr>
          <w:i/>
          <w:iCs/>
        </w:rPr>
        <w:t>Lp</w:t>
      </w:r>
      <w:r>
        <w:t xml:space="preserve">, valorile pentru </w:t>
      </w:r>
      <w:r>
        <w:rPr>
          <w:i/>
          <w:iCs/>
        </w:rPr>
        <w:t>Ls</w:t>
      </w:r>
      <w:r>
        <w:t xml:space="preserve">1 și </w:t>
      </w:r>
      <w:r>
        <w:rPr>
          <w:i/>
          <w:iCs/>
        </w:rPr>
        <w:t>Ls</w:t>
      </w:r>
      <w:r>
        <w:t xml:space="preserve">2 se </w:t>
      </w:r>
      <w:r w:rsidR="0057559C">
        <w:t>determină</w:t>
      </w:r>
      <w:r>
        <w:t xml:space="preserve"> conform rel. (6) dar cu următoarea observație:</w:t>
      </w:r>
    </w:p>
    <w:p w14:paraId="0AD520F9" w14:textId="4F640A76" w:rsidR="005B0605" w:rsidRPr="005B0605" w:rsidRDefault="00F17C8C" w:rsidP="005B0605">
      <w:pPr>
        <w:jc w:val="both"/>
      </w:pPr>
      <m:oMathPara>
        <m:oMathParaPr>
          <m:jc m:val="left"/>
        </m:oMathParaPr>
        <m:oMath>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2</m:t>
                  </m:r>
                </m:den>
              </m:f>
            </m:num>
            <m:den>
              <m:sSub>
                <m:sSubPr>
                  <m:ctrlPr>
                    <w:rPr>
                      <w:rFonts w:ascii="Cambria Math" w:hAnsi="Cambria Math"/>
                      <w:i/>
                    </w:rPr>
                  </m:ctrlPr>
                </m:sSubPr>
                <m:e>
                  <m:r>
                    <w:rPr>
                      <w:rFonts w:ascii="Cambria Math" w:hAnsi="Cambria Math"/>
                    </w:rPr>
                    <m:t>V</m:t>
                  </m:r>
                </m:e>
                <m:sub>
                  <m:r>
                    <w:rPr>
                      <w:rFonts w:ascii="Cambria Math" w:hAnsi="Cambria Math"/>
                    </w:rPr>
                    <m:t>s1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p1</m:t>
                      </m:r>
                    </m:sub>
                  </m:sSub>
                </m:num>
                <m:den>
                  <m:sSub>
                    <m:sSubPr>
                      <m:ctrlPr>
                        <w:rPr>
                          <w:rFonts w:ascii="Cambria Math" w:hAnsi="Cambria Math"/>
                          <w:i/>
                        </w:rPr>
                      </m:ctrlPr>
                    </m:sSubPr>
                    <m:e>
                      <m:r>
                        <w:rPr>
                          <w:rFonts w:ascii="Cambria Math" w:hAnsi="Cambria Math"/>
                        </w:rPr>
                        <m:t>L</m:t>
                      </m:r>
                    </m:e>
                    <m:sub>
                      <m:r>
                        <w:rPr>
                          <w:rFonts w:ascii="Cambria Math" w:hAnsi="Cambria Math"/>
                        </w:rPr>
                        <m:t>s1</m:t>
                      </m:r>
                    </m:sub>
                  </m:sSub>
                </m:den>
              </m:f>
            </m:e>
          </m:rad>
          <m:r>
            <w:rPr>
              <w:rFonts w:ascii="Cambria Math" w:hAnsi="Cambria Math"/>
            </w:rPr>
            <m:t xml:space="preserve">     (7)</m:t>
          </m:r>
        </m:oMath>
      </m:oMathPara>
    </w:p>
    <w:p w14:paraId="237BD139" w14:textId="1A1D3E73" w:rsidR="005B0605" w:rsidRDefault="005B0605" w:rsidP="005B0605">
      <w:pPr>
        <w:jc w:val="both"/>
      </w:pPr>
      <w:r>
        <w:t xml:space="preserve">dar </w:t>
      </w:r>
      <m:oMath>
        <m:sSub>
          <m:sSubPr>
            <m:ctrlPr>
              <w:rPr>
                <w:rFonts w:ascii="Cambria Math" w:hAnsi="Cambria Math"/>
                <w:i/>
              </w:rPr>
            </m:ctrlPr>
          </m:sSubPr>
          <m:e>
            <m:r>
              <w:rPr>
                <w:rFonts w:ascii="Cambria Math" w:hAnsi="Cambria Math"/>
              </w:rPr>
              <m:t>L</m:t>
            </m:r>
          </m:e>
          <m:sub>
            <m:r>
              <w:rPr>
                <w:rFonts w:ascii="Cambria Math" w:hAnsi="Cambria Math"/>
              </w:rPr>
              <m:t>p1</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r>
              <w:rPr>
                <w:rFonts w:ascii="Cambria Math" w:hAnsi="Cambria Math"/>
              </w:rPr>
              <m:t>2</m:t>
            </m:r>
          </m:den>
        </m:f>
      </m:oMath>
      <w:r>
        <w:rPr>
          <w:rFonts w:eastAsiaTheme="minorEastAsia"/>
        </w:rPr>
        <w:t xml:space="preserve"> conform descrierii în SPICE a transformatorului (fig. 3)</w:t>
      </w:r>
      <w:r w:rsidR="00653071">
        <w:rPr>
          <w:rFonts w:eastAsiaTheme="minorEastAsia"/>
        </w:rPr>
        <w:t>. Înlocuind obținem</w:t>
      </w:r>
    </w:p>
    <w:p w14:paraId="4E2A343F" w14:textId="4ACBF23B" w:rsidR="005B0605" w:rsidRPr="00653071" w:rsidRDefault="00F17C8C" w:rsidP="005B0605">
      <w:pPr>
        <w:jc w:val="both"/>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s1</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s1</m:t>
                      </m:r>
                    </m:sub>
                  </m:sSub>
                </m:den>
              </m:f>
            </m:e>
          </m:rad>
        </m:oMath>
      </m:oMathPara>
    </w:p>
    <w:p w14:paraId="3FFE125B" w14:textId="03904CDA" w:rsidR="00653071" w:rsidRDefault="00653071" w:rsidP="005B0605">
      <w:pPr>
        <w:jc w:val="both"/>
      </w:pPr>
      <w:r>
        <w:t>sau</w:t>
      </w:r>
    </w:p>
    <w:p w14:paraId="75E1A0F5" w14:textId="751BACB9" w:rsidR="00653071" w:rsidRPr="00653071" w:rsidRDefault="00F17C8C" w:rsidP="00653071">
      <w:pPr>
        <w:jc w:val="both"/>
      </w:pPr>
      <m:oMathPara>
        <m:oMathParaPr>
          <m:jc m:val="left"/>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s1</m:t>
                      </m:r>
                    </m:sub>
                  </m:sSub>
                </m:den>
              </m:f>
            </m:e>
          </m:rad>
          <m:r>
            <w:rPr>
              <w:rFonts w:ascii="Cambria Math" w:eastAsiaTheme="minorEastAsia" w:hAnsi="Cambria Math"/>
            </w:rPr>
            <m:t xml:space="preserve">     (8)</m:t>
          </m:r>
        </m:oMath>
      </m:oMathPara>
    </w:p>
    <w:p w14:paraId="20530A5E" w14:textId="07839212" w:rsidR="00653071" w:rsidRDefault="00653071" w:rsidP="005B0605">
      <w:pPr>
        <w:jc w:val="both"/>
      </w:pPr>
      <w:r>
        <w:t>de unde</w:t>
      </w:r>
    </w:p>
    <w:p w14:paraId="1863B016" w14:textId="33630DE7" w:rsidR="00653071" w:rsidRPr="00653071" w:rsidRDefault="00F17C8C" w:rsidP="005B0605">
      <w:pPr>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s1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p</m:t>
                  </m:r>
                </m:sub>
              </m:sSub>
            </m:num>
            <m:den>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s1</m:t>
                              </m:r>
                            </m:sub>
                          </m:sSub>
                        </m:den>
                      </m:f>
                    </m:e>
                  </m:d>
                </m:e>
                <m:sup>
                  <m:r>
                    <w:rPr>
                      <w:rFonts w:ascii="Cambria Math" w:hAnsi="Cambria Math"/>
                    </w:rPr>
                    <m:t>2</m:t>
                  </m:r>
                </m:sup>
              </m:sSup>
            </m:den>
          </m:f>
          <m:r>
            <w:rPr>
              <w:rFonts w:ascii="Cambria Math" w:hAnsi="Cambria Math"/>
            </w:rPr>
            <m:t xml:space="preserve">     (9a)</m:t>
          </m:r>
        </m:oMath>
      </m:oMathPara>
    </w:p>
    <w:p w14:paraId="603F91C8" w14:textId="51471585" w:rsidR="00653071" w:rsidRDefault="00653071" w:rsidP="005B0605">
      <w:pPr>
        <w:jc w:val="both"/>
      </w:pPr>
      <w:r>
        <w:t>asemănător</w:t>
      </w:r>
    </w:p>
    <w:p w14:paraId="2F11778B" w14:textId="734FADBE" w:rsidR="00653071" w:rsidRPr="00653071" w:rsidRDefault="00F17C8C" w:rsidP="005B0605">
      <w:pPr>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s2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p</m:t>
                  </m:r>
                </m:sub>
              </m:sSub>
            </m:num>
            <m:den>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s2</m:t>
                              </m:r>
                            </m:sub>
                          </m:sSub>
                        </m:den>
                      </m:f>
                    </m:e>
                  </m:d>
                </m:e>
                <m:sup>
                  <m:r>
                    <w:rPr>
                      <w:rFonts w:ascii="Cambria Math" w:hAnsi="Cambria Math"/>
                    </w:rPr>
                    <m:t>2</m:t>
                  </m:r>
                </m:sup>
              </m:sSup>
            </m:den>
          </m:f>
          <m:r>
            <w:rPr>
              <w:rFonts w:ascii="Cambria Math" w:hAnsi="Cambria Math"/>
            </w:rPr>
            <m:t xml:space="preserve">     (9b)</m:t>
          </m:r>
        </m:oMath>
      </m:oMathPara>
    </w:p>
    <w:p w14:paraId="4ED6D6C4" w14:textId="22FA079A" w:rsidR="00653071" w:rsidRDefault="00653071" w:rsidP="005B0605">
      <w:pPr>
        <w:jc w:val="both"/>
      </w:pPr>
    </w:p>
    <w:p w14:paraId="6D027616" w14:textId="4B314A21" w:rsidR="00F7174F" w:rsidRDefault="00F7174F"/>
    <w:sectPr w:rsidR="00F7174F" w:rsidSect="00DF620E">
      <w:headerReference w:type="default" r:id="rId10"/>
      <w:footerReference w:type="default" r:id="rId1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0C36" w14:textId="77777777" w:rsidR="00F17C8C" w:rsidRDefault="00F17C8C" w:rsidP="000D3732">
      <w:r>
        <w:separator/>
      </w:r>
    </w:p>
  </w:endnote>
  <w:endnote w:type="continuationSeparator" w:id="0">
    <w:p w14:paraId="161B5311" w14:textId="77777777" w:rsidR="00F17C8C" w:rsidRDefault="00F17C8C" w:rsidP="000D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18"/>
      </w:rPr>
      <w:id w:val="1325316827"/>
      <w:docPartObj>
        <w:docPartGallery w:val="Page Numbers (Bottom of Page)"/>
        <w:docPartUnique/>
      </w:docPartObj>
    </w:sdtPr>
    <w:sdtContent>
      <w:sdt>
        <w:sdtPr>
          <w:rPr>
            <w:sz w:val="20"/>
            <w:szCs w:val="18"/>
          </w:rPr>
          <w:id w:val="-1769616900"/>
          <w:docPartObj>
            <w:docPartGallery w:val="Page Numbers (Top of Page)"/>
            <w:docPartUnique/>
          </w:docPartObj>
        </w:sdtPr>
        <w:sdtContent>
          <w:p w14:paraId="551594C6" w14:textId="5EA1B75D" w:rsidR="00FB11E7" w:rsidRPr="00FB11E7" w:rsidRDefault="00FB11E7" w:rsidP="00FB11E7">
            <w:pPr>
              <w:pStyle w:val="Footer"/>
              <w:pBdr>
                <w:top w:val="single" w:sz="4" w:space="1" w:color="auto"/>
              </w:pBdr>
              <w:jc w:val="right"/>
              <w:rPr>
                <w:sz w:val="20"/>
                <w:szCs w:val="18"/>
              </w:rPr>
            </w:pPr>
            <w:r w:rsidRPr="00FB11E7">
              <w:rPr>
                <w:sz w:val="20"/>
                <w:szCs w:val="18"/>
              </w:rPr>
              <w:t xml:space="preserve">Page </w:t>
            </w:r>
            <w:r w:rsidRPr="00FB11E7">
              <w:rPr>
                <w:b/>
                <w:bCs/>
                <w:sz w:val="20"/>
                <w:szCs w:val="20"/>
              </w:rPr>
              <w:fldChar w:fldCharType="begin"/>
            </w:r>
            <w:r w:rsidRPr="00FB11E7">
              <w:rPr>
                <w:b/>
                <w:bCs/>
                <w:sz w:val="20"/>
                <w:szCs w:val="18"/>
              </w:rPr>
              <w:instrText xml:space="preserve"> PAGE </w:instrText>
            </w:r>
            <w:r w:rsidRPr="00FB11E7">
              <w:rPr>
                <w:b/>
                <w:bCs/>
                <w:sz w:val="20"/>
                <w:szCs w:val="20"/>
              </w:rPr>
              <w:fldChar w:fldCharType="separate"/>
            </w:r>
            <w:r w:rsidRPr="00FB11E7">
              <w:rPr>
                <w:b/>
                <w:bCs/>
                <w:noProof/>
                <w:sz w:val="20"/>
                <w:szCs w:val="18"/>
              </w:rPr>
              <w:t>2</w:t>
            </w:r>
            <w:r w:rsidRPr="00FB11E7">
              <w:rPr>
                <w:b/>
                <w:bCs/>
                <w:sz w:val="20"/>
                <w:szCs w:val="20"/>
              </w:rPr>
              <w:fldChar w:fldCharType="end"/>
            </w:r>
            <w:r w:rsidRPr="00FB11E7">
              <w:rPr>
                <w:sz w:val="20"/>
                <w:szCs w:val="18"/>
              </w:rPr>
              <w:t xml:space="preserve"> of </w:t>
            </w:r>
            <w:r w:rsidRPr="00FB11E7">
              <w:rPr>
                <w:b/>
                <w:bCs/>
                <w:sz w:val="20"/>
                <w:szCs w:val="20"/>
              </w:rPr>
              <w:fldChar w:fldCharType="begin"/>
            </w:r>
            <w:r w:rsidRPr="00FB11E7">
              <w:rPr>
                <w:b/>
                <w:bCs/>
                <w:sz w:val="20"/>
                <w:szCs w:val="18"/>
              </w:rPr>
              <w:instrText xml:space="preserve"> NUMPAGES  </w:instrText>
            </w:r>
            <w:r w:rsidRPr="00FB11E7">
              <w:rPr>
                <w:b/>
                <w:bCs/>
                <w:sz w:val="20"/>
                <w:szCs w:val="20"/>
              </w:rPr>
              <w:fldChar w:fldCharType="separate"/>
            </w:r>
            <w:r w:rsidRPr="00FB11E7">
              <w:rPr>
                <w:b/>
                <w:bCs/>
                <w:noProof/>
                <w:sz w:val="20"/>
                <w:szCs w:val="18"/>
              </w:rPr>
              <w:t>2</w:t>
            </w:r>
            <w:r w:rsidRPr="00FB11E7">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59607" w14:textId="77777777" w:rsidR="00F17C8C" w:rsidRDefault="00F17C8C" w:rsidP="000D3732">
      <w:r>
        <w:separator/>
      </w:r>
    </w:p>
  </w:footnote>
  <w:footnote w:type="continuationSeparator" w:id="0">
    <w:p w14:paraId="78EEA5AE" w14:textId="77777777" w:rsidR="00F17C8C" w:rsidRDefault="00F17C8C" w:rsidP="000D3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7742" w14:textId="77777777" w:rsidR="000D3732" w:rsidRPr="000D3732" w:rsidRDefault="000D3732" w:rsidP="000D3732">
    <w:pPr>
      <w:pStyle w:val="Header"/>
      <w:pBdr>
        <w:bottom w:val="single" w:sz="4" w:space="1" w:color="auto"/>
      </w:pBdr>
      <w:jc w:val="right"/>
      <w:rPr>
        <w:sz w:val="20"/>
        <w:szCs w:val="18"/>
        <w:lang w:val="ro-RO"/>
      </w:rPr>
    </w:pPr>
    <w:r w:rsidRPr="00DD7C1A">
      <w:rPr>
        <w:i/>
        <w:iCs/>
        <w:sz w:val="20"/>
        <w:szCs w:val="18"/>
        <w:lang w:val="ro-RO"/>
      </w:rPr>
      <w:t>Practica an</w:t>
    </w:r>
    <w:r w:rsidRPr="000D3732">
      <w:rPr>
        <w:sz w:val="20"/>
        <w:szCs w:val="18"/>
        <w:lang w:val="ro-RO"/>
      </w:rP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81"/>
    <w:rsid w:val="0000547B"/>
    <w:rsid w:val="0002692D"/>
    <w:rsid w:val="00092589"/>
    <w:rsid w:val="000B4EE4"/>
    <w:rsid w:val="000D3732"/>
    <w:rsid w:val="00245317"/>
    <w:rsid w:val="00287F51"/>
    <w:rsid w:val="002C1E91"/>
    <w:rsid w:val="002C3FB4"/>
    <w:rsid w:val="00323FFD"/>
    <w:rsid w:val="00367281"/>
    <w:rsid w:val="004A5F30"/>
    <w:rsid w:val="0057559C"/>
    <w:rsid w:val="005B0605"/>
    <w:rsid w:val="00653071"/>
    <w:rsid w:val="006B2687"/>
    <w:rsid w:val="007270AD"/>
    <w:rsid w:val="007873D6"/>
    <w:rsid w:val="00856770"/>
    <w:rsid w:val="00862451"/>
    <w:rsid w:val="0096664F"/>
    <w:rsid w:val="00A662D4"/>
    <w:rsid w:val="00B955AE"/>
    <w:rsid w:val="00C73A08"/>
    <w:rsid w:val="00C743CD"/>
    <w:rsid w:val="00CA0A69"/>
    <w:rsid w:val="00D9238C"/>
    <w:rsid w:val="00DD7C1A"/>
    <w:rsid w:val="00DF620E"/>
    <w:rsid w:val="00F17C8C"/>
    <w:rsid w:val="00F320E2"/>
    <w:rsid w:val="00F7174F"/>
    <w:rsid w:val="00F9209F"/>
    <w:rsid w:val="00FB11E7"/>
    <w:rsid w:val="00FB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6EB0"/>
  <w15:chartTrackingRefBased/>
  <w15:docId w15:val="{21D8532A-6C0E-4DFF-AAAE-B0952148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egoe UI"/>
        <w:sz w:val="24"/>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64F"/>
    <w:rPr>
      <w:color w:val="0000FF"/>
      <w:u w:val="single"/>
    </w:rPr>
  </w:style>
  <w:style w:type="table" w:styleId="TableGrid">
    <w:name w:val="Table Grid"/>
    <w:basedOn w:val="TableNormal"/>
    <w:uiPriority w:val="39"/>
    <w:rsid w:val="00966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451"/>
    <w:rPr>
      <w:color w:val="808080"/>
    </w:rPr>
  </w:style>
  <w:style w:type="paragraph" w:styleId="Header">
    <w:name w:val="header"/>
    <w:basedOn w:val="Normal"/>
    <w:link w:val="HeaderChar"/>
    <w:uiPriority w:val="99"/>
    <w:unhideWhenUsed/>
    <w:rsid w:val="000D3732"/>
    <w:pPr>
      <w:tabs>
        <w:tab w:val="center" w:pos="4680"/>
        <w:tab w:val="right" w:pos="9360"/>
      </w:tabs>
    </w:pPr>
  </w:style>
  <w:style w:type="character" w:customStyle="1" w:styleId="HeaderChar">
    <w:name w:val="Header Char"/>
    <w:basedOn w:val="DefaultParagraphFont"/>
    <w:link w:val="Header"/>
    <w:uiPriority w:val="99"/>
    <w:rsid w:val="000D3732"/>
  </w:style>
  <w:style w:type="paragraph" w:styleId="Footer">
    <w:name w:val="footer"/>
    <w:basedOn w:val="Normal"/>
    <w:link w:val="FooterChar"/>
    <w:uiPriority w:val="99"/>
    <w:unhideWhenUsed/>
    <w:rsid w:val="000D3732"/>
    <w:pPr>
      <w:tabs>
        <w:tab w:val="center" w:pos="4680"/>
        <w:tab w:val="right" w:pos="9360"/>
      </w:tabs>
    </w:pPr>
  </w:style>
  <w:style w:type="character" w:customStyle="1" w:styleId="FooterChar">
    <w:name w:val="Footer Char"/>
    <w:basedOn w:val="DefaultParagraphFont"/>
    <w:link w:val="Footer"/>
    <w:uiPriority w:val="99"/>
    <w:rsid w:val="000D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519</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geoic@yahoo.com</dc:creator>
  <cp:keywords/>
  <dc:description/>
  <cp:lastModifiedBy>geoic@yahoo.com</cp:lastModifiedBy>
  <cp:revision>19</cp:revision>
  <dcterms:created xsi:type="dcterms:W3CDTF">2020-05-03T13:00:00Z</dcterms:created>
  <dcterms:modified xsi:type="dcterms:W3CDTF">2020-05-04T18:24:00Z</dcterms:modified>
</cp:coreProperties>
</file>