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BNazanin.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bidi w:val="1"/>
      </w:pPr>
      <w:r>
        <w:rPr>
          <w:rFonts w:ascii="Times New Roman" w:hAnsi="Times New Roman" w:cs="B Nazanin" w:eastAsia="B Nazanin"/>
          <w:b/>
          <w:sz w:val="28"/>
          <w:rtl w:val="1"/>
          <w:lang w:val="en-US" w:bidi="fa-IR" w:eastAsia="fa-IR"/>
        </w:rPr>
        <w:t xml:space="preserve">حسابرسی شواهد مدل‌های in silico در مهندسی پزشکی با نردبان اعتبار کودون‌تریس جنسیس</w:t>
      </w:r>
    </w:p>
    <w:p>
      <w:pPr>
        <w:pStyle w:val="TitleEnglish"/>
        <w:jc w:val="center"/>
        <w:bidi w:val="1"/>
      </w:pPr>
      <w:r>
        <w:rPr>
          <w:rFonts w:ascii="Times New Roman" w:hAnsi="Times New Roman" w:cs="B Nazanin" w:eastAsia="B Nazanin"/>
          <w:i/>
          <w:sz w:val="22"/>
          <w:rtl w:val="1"/>
          <w:lang w:val="en-US" w:bidi="fa-IR" w:eastAsia="fa-IR"/>
        </w:rPr>
        <w:t xml:space="preserve">Auditing Evidence for In-Silico Models in Biomedical Engineering with the CodonTrace Genesis Credibility Ladder</w:t>
      </w:r>
    </w:p>
    <w:p>
      <w:pPr>
        <w:pStyle w:val="Authors"/>
        <w:jc w:val="center"/>
        <w:bidi w:val="1"/>
      </w:pPr>
      <w:r>
        <w:rPr>
          <w:rFonts w:ascii="Times New Roman" w:hAnsi="Times New Roman" w:cs="B Nazanin" w:eastAsia="B Nazanin"/>
          <w:b/>
          <w:sz w:val="22"/>
          <w:rtl w:val="1"/>
          <w:lang w:val="en-US" w:bidi="fa-IR" w:eastAsia="fa-IR"/>
        </w:rPr>
        <w:t xml:space="preserve">پرواز جمیعی۱</w:t>
      </w:r>
    </w:p>
    <w:p>
      <w:pPr>
        <w:pStyle w:val="Affiliations"/>
        <w:jc w:val="center"/>
        <w:bidi w:val="1"/>
      </w:pPr>
      <w:r>
        <w:rPr>
          <w:rFonts w:ascii="Times New Roman" w:hAnsi="Times New Roman" w:cs="B Nazanin" w:eastAsia="B Nazanin"/>
          <w:sz w:val="18"/>
          <w:rtl w:val="1"/>
          <w:lang w:val="en-US" w:bidi="fa-IR" w:eastAsia="fa-IR"/>
        </w:rPr>
        <w:t>۱پژوهشگر مستقل، مشهد، ایران، parvaz.jamie@gmail.com</w:t>
      </w:r>
    </w:p>
    <w:p>
      <w:pPr>
        <w:pStyle w:val="Affiliations"/>
        <w:jc w:val="center"/>
        <w:bidi w:val="1"/>
      </w:pPr>
      <w:r>
        <w:rPr>
          <w:rFonts w:ascii="Times New Roman" w:hAnsi="Times New Roman" w:cs="B Nazanin" w:eastAsia="B Nazanin"/>
          <w:sz w:val="18"/>
          <w:rtl w:val="1"/>
          <w:lang w:val="en-US" w:bidi="fa-IR" w:eastAsia="fa-IR"/>
        </w:rPr>
        <w:t>ORCID: https://orcid.org/0009-0002-9980-270X</w:t>
      </w:r>
    </w:p>
    <w:p>
      <w:pPr>
        <w:pStyle w:val="Abstract"/>
        <w:jc w:val="both"/>
        <w:bidi w:val="1"/>
      </w:pPr>
      <w:r>
        <w:rPr>
          <w:rFonts w:ascii="Times New Roman" w:hAnsi="Times New Roman" w:cs="B Nazanin" w:eastAsia="B Nazanin"/>
          <w:sz w:val="18"/>
          <w:rtl w:val="1"/>
          <w:lang w:val="en-US" w:bidi="fa-IR" w:eastAsia="fa-IR"/>
        </w:rPr>
        <w:t>چکیده - برای مدل محاسباتی در مهندسی پزشکی، عدد دقت به‌تنهایی کافی نیست و باید روشن باشد شواهد حاضر چه ادعایی را نگه می‌دارند. این مقاله بستر کودون‌تریس جنسیس را معرفی می‌کند: اجرا قطعی است، مداخله روی یال سازوکار ثبت می‌شود، و ادعا روی نردبانی شش‌سطحی حسابرسی می‌شود. خود موتور حوزه را نمی‌شناسد. برچسب حوزه از پورت DomainProfile می‌آید و پروفایل زیست‌پزشکی همان نردبان را با واژگان ASME V&amp;V 40، راهنمای FDA در سال ۲۰۲۳، IEC 62304 و IMDRF هماهنگ می‌کند. در کمپین HE01 با سی بذر جفتی، اختلاف انرژی نسبت به کنترل کانالِ روشن ۱۶٫۴۹ واحد و بازهٔ BCa برابر [۱۴٫۲۵، ۱۹٫۱۴] بود. اجرای همان حسابرس روی جدول اعلامی یک مدل تجهیز، با ریسک مدل ۳ و برچسب‌های IEC و FDA، در سطح صفر ماند.</w:t>
      </w:r>
    </w:p>
    <w:p>
      <w:pPr>
        <w:pStyle w:val="Index"/>
        <w:jc w:val="both"/>
        <w:bidi w:val="1"/>
        <w:sectPr w:rsidR="00B96CBB" w:rsidRPr="00D53C11" w:rsidSect="00BF479B">
          <w:headerReference w:type="even" r:id="rId8"/>
          <w:headerReference w:type="default" r:id="rId9"/>
          <w:footerReference w:type="even" r:id="rId10"/>
          <w:footerReference w:type="default" r:id="rId11"/>
          <w:headerReference w:type="first" r:id="rId12"/>
          <w:endnotePr>
            <w:numFmt w:val="decimal"/>
          </w:endnotePr>
          <w:type w:val="continuous"/>
          <w:pgSz w:w="11906" w:h="16838" w:code="9"/>
          <w:pgMar w:top="1077" w:right="907" w:bottom="1440" w:left="907" w:header="851" w:footer="567" w:gutter="0"/>
          <w:cols w:space="374"/>
          <w:titlePg/>
          <w:bidi/>
          <w:rtlGutter/>
          <w:docGrid w:linePitch="272"/>
        </w:sectPr>
      </w:pPr>
      <w:r>
        <w:rPr>
          <w:rFonts w:ascii="Times New Roman" w:hAnsi="Times New Roman" w:cs="B Nazanin" w:eastAsia="B Nazanin"/>
          <w:sz w:val="18"/>
          <w:rtl w:val="1"/>
          <w:lang w:val="en-US" w:bidi="fa-IR" w:eastAsia="fa-IR"/>
        </w:rPr>
        <w:t>کلید واژه- اعتبارسنجی in silico، حسابرسی شواهد، مدل‌سازی محاسباتی، نردبان اعتبار</w:t>
      </w:r>
    </w:p>
    <w:p>
      <w:pPr>
        <w:pStyle w:val="Heading1"/>
        <w:jc w:val="right"/>
        <w:bidi w:val="1"/>
      </w:pPr>
      <w:r>
        <w:rPr>
          <w:rFonts w:ascii="Times New Roman" w:hAnsi="Times New Roman" w:cs="B Nazanin" w:eastAsia="B Nazanin"/>
          <w:b/>
          <w:sz w:val="22"/>
          <w:rtl w:val="1"/>
          <w:lang w:val="en-US" w:bidi="fa-IR" w:eastAsia="fa-IR"/>
        </w:rPr>
        <w:t xml:space="preserve">مقدمه</w:t>
      </w:r>
    </w:p>
    <w:p>
      <w:pPr>
        <w:jc w:val="both"/>
        <w:bidi w:val="1"/>
      </w:pPr>
      <w:r>
        <w:rPr>
          <w:rFonts w:ascii="Times New Roman" w:hAnsi="Times New Roman" w:cs="B Nazanin" w:eastAsia="B Nazanin"/>
          <w:sz w:val="20"/>
          <w:rtl w:val="1"/>
          <w:lang w:val="en-US" w:bidi="fa-IR" w:eastAsia="fa-IR"/>
        </w:rPr>
        <w:t>در پروندهٔ مدل محاسباتی برای تجهیز پزشکی، سؤال اصلی این نیست که مدل چند درصد درست گفته است. سؤال این است که با شواهد موجود تا کجا می‌شود ادعا کرد. راهنمای نوامبر ۲۰۲۳ سازمان غذا و داروی آمریکا اعتبار مدل‌سازی و شبیه‌سازی فیزیک‌محور را به ریسک تصمیم وصل می‌کند و مدل یادگیری ماشین مستقل را بیرون از دامنه می‌گذارد [1]. استاندارد ASME V&amp;V 40 همین نکته را با پرسش مورد علاقه، زمینهٔ کاربرد و پیامد تصمیم می‌نویسد [2]. NASA-STD-7009B جدا می‌خواهد که هم خود مدل قابل اتکا باشد و هم انتقال نتیجه به شرایط تازه مجاز باشد [3]. پیوست چهارم قانون هوش مصنوعی اتحادیهٔ اروپا نیز برای سامانه‌های مشمول، مستندسازی اعتبارسنجی را لازم کرده است [4]. این سندها زبان مشترکی دارند، اما هیچ‌کدام به‌تنهایی درجهٔ ادعای بسته‌شده به یک فایل پژوهشی را معلوم نمی‌کنند.</w:t>
      </w:r>
    </w:p>
    <w:p>
      <w:pPr>
        <w:jc w:val="both"/>
        <w:bidi w:val="1"/>
      </w:pPr>
      <w:r>
        <w:rPr>
          <w:rFonts w:ascii="Times New Roman" w:hAnsi="Times New Roman" w:cs="B Nazanin" w:eastAsia="B Nazanin"/>
          <w:sz w:val="20"/>
          <w:rtl w:val="1"/>
          <w:lang w:val="en-US" w:bidi="fa-IR" w:eastAsia="fa-IR"/>
        </w:rPr>
        <w:t>Viceconti و همکاران آزمون in silico را بر زمینهٔ کاربرد، تحلیل ریسک، و زنجیرهٔ راستی‌آزمایی، اعتبارسنجی و کمی‌سازی عدم‌قطعیت گذاشته‌اند [5]. Pathmanathan و همکاران همان زنجیره را تا اعتبار زیرمدل‌ها در آزمون بالینی درسیلیکو برده‌اند [17]. گزارش سمپوزیوم FDA/MDIC در سال ۲۰۲۴ هم اعتبار مدل را در طول عمر تجهیز، از جمله دوقلوی دیجیتال، جمع کرده است [18]. آنچه کم است ابزاری است که بعد از انتشار هم بگوید این مصنوع کدام سطح ادعا را پشتیبانی می‌کند. در بررسی ۸۵ مقالهٔ متکی به مدل زبانی در ICSE و ASE سال ۲۰۲۴، از پنج مصنوع اجرایی هیچ‌کدام کامل بازتولید نشد [6]. تکرار اجرا هم به‌خودی‌خود سقف ادعا را نگه نمی‌دارد. این مقاله برای همان کار نوشته شده است.</w:t>
      </w:r>
    </w:p>
    <w:p>
      <w:pPr>
        <w:jc w:val="both"/>
        <w:bidi w:val="1"/>
      </w:pPr>
      <w:r>
        <w:rPr>
          <w:rFonts w:ascii="Times New Roman" w:hAnsi="Times New Roman" w:cs="B Nazanin" w:eastAsia="B Nazanin"/>
          <w:sz w:val="20"/>
          <w:rtl w:val="1"/>
          <w:lang w:val="en-US" w:bidi="fa-IR" w:eastAsia="fa-IR"/>
        </w:rPr>
        <w:t>در این بستر، اجرای قطعی، مداخلهٔ یال‌به‌یال و حسابرسی ادعا کنار هم آمده‌اند و موتور برای پزشکی از نو نوشته نشده است. پروفایل زیست‌پزشکی واژگان تنظیم‌گری را روی همان نردبان می‌گذارد و برچسب را به‌جای تأیید نمی‌نشاند. خروجی ارزیابی هم دو تاست: کمپین HE01 با شواهد جفتی بالا می‌رود و جدول اعلامی مدل تجهیز، با ریسک مدل ۳، در سطح صفر می‌ماند.</w:t>
      </w:r>
    </w:p>
    <w:p>
      <w:pPr>
        <w:pStyle w:val="Heading1"/>
        <w:jc w:val="right"/>
        <w:bidi w:val="1"/>
      </w:pPr>
      <w:r>
        <w:rPr>
          <w:rFonts w:ascii="Times New Roman" w:hAnsi="Times New Roman" w:cs="B Nazanin" w:eastAsia="B Nazanin"/>
          <w:b/>
          <w:sz w:val="22"/>
          <w:rtl w:val="1"/>
          <w:lang w:val="en-US" w:bidi="fa-IR" w:eastAsia="fa-IR"/>
        </w:rPr>
        <w:t xml:space="preserve">پیشینه و کارهای مرتبط</w:t>
      </w:r>
    </w:p>
    <w:p>
      <w:pPr>
        <w:jc w:val="both"/>
        <w:bidi w:val="1"/>
      </w:pPr>
      <w:r>
        <w:rPr>
          <w:rFonts w:ascii="Times New Roman" w:hAnsi="Times New Roman" w:cs="B Nazanin" w:eastAsia="B Nazanin"/>
          <w:sz w:val="20"/>
          <w:rtl w:val="1"/>
          <w:lang w:val="en-US" w:bidi="fa-IR" w:eastAsia="fa-IR"/>
        </w:rPr>
        <w:t>درجه‌بندی اعتبار سابقهٔ طولانی دارد، ولی اغلب در حد راهنما و گزارش نمونه مانده است. ASME VVUQ 40.1-2026 یک نمونهٔ کامل از همین چارچوب است و بدترین اندازهٔ سینی تیبیال را برای آزمون خستگی ISO 14879-1 مشخص می‌کند [7]. IEC 62304 ردهٔ ایمنی نرم‌افزار پزشکی را A، B یا C می‌گذارد و حجم کار چرخهٔ حیات را به همان رده وصل می‌کند [8]. اسناد IMDRF زبان SiMD و SaMD و نیز مشخصه‌سازی ریسک نرم‌افزار دستگاه را تثبیت کرده‌اند [9]، [10]. در این مقاله همان واژه‌ها به نردبانی وصل شده‌اند که روی بستهٔ شواهد اجرا می‌شود.</w:t>
      </w:r>
    </w:p>
    <w:p>
      <w:pPr>
        <w:jc w:val="both"/>
        <w:bidi w:val="1"/>
      </w:pPr>
      <w:r>
        <w:rPr>
          <w:rFonts w:ascii="Times New Roman" w:hAnsi="Times New Roman" w:cs="B Nazanin" w:eastAsia="B Nazanin"/>
          <w:sz w:val="20"/>
          <w:rtl w:val="1"/>
          <w:lang w:val="en-US" w:bidi="fa-IR" w:eastAsia="fa-IR"/>
        </w:rPr>
        <w:t>آویدا بستر شناخته‌شده‌ای برای برنامه‌های خودتکثیرشونده است [11] و پروندهٔ .dat آن از همین در خوانده می‌شود. در ادبیات کیفیت‌تنوع، پایداری عملکرد در محیط نامطمئن [12] با بازپخش بیت‌به‌بیت یک اجرای نرم‌افزار یکی نیست. توصیف مدل بر اساس پروتکل ODD نوشته شده است [13]. در پیکربندی هم یک خط قرمز هست: رشتهٔ asme_vv40_passed پذیرفته نمی‌شود.</w:t>
      </w:r>
    </w:p>
    <w:p>
      <w:pPr>
        <w:pStyle w:val="Heading1"/>
        <w:jc w:val="right"/>
        <w:bidi w:val="1"/>
      </w:pPr>
      <w:r>
        <w:rPr>
          <w:rFonts w:ascii="Times New Roman" w:hAnsi="Times New Roman" w:cs="B Nazanin" w:eastAsia="B Nazanin"/>
          <w:b/>
          <w:sz w:val="22"/>
          <w:rtl w:val="1"/>
          <w:lang w:val="en-US" w:bidi="fa-IR" w:eastAsia="fa-IR"/>
        </w:rPr>
        <w:t xml:space="preserve">معماری سامانه</w:t>
      </w:r>
    </w:p>
    <w:p>
      <w:pPr>
        <w:pStyle w:val="Heading2"/>
        <w:jc w:val="right"/>
        <w:bidi w:val="1"/>
      </w:pPr>
      <w:r>
        <w:rPr>
          <w:rFonts w:ascii="Times New Roman" w:hAnsi="Times New Roman" w:cs="B Nazanin" w:eastAsia="B Nazanin"/>
          <w:b/>
          <w:sz w:val="20"/>
          <w:rtl w:val="1"/>
          <w:lang w:val="en-US" w:bidi="fa-IR" w:eastAsia="fa-IR"/>
        </w:rPr>
        <w:t xml:space="preserve">موتور و جداسازی پورت</w:t>
      </w:r>
    </w:p>
    <w:p>
      <w:pPr>
        <w:jc w:val="both"/>
        <w:bidi w:val="1"/>
      </w:pPr>
      <w:r>
        <w:rPr>
          <w:rFonts w:ascii="Times New Roman" w:hAnsi="Times New Roman" w:cs="B Nazanin" w:eastAsia="B Nazanin"/>
          <w:sz w:val="20"/>
          <w:rtl w:val="1"/>
          <w:lang w:val="en-US" w:bidi="fa-IR" w:eastAsia="fa-IR"/>
        </w:rPr>
        <w:t>هسته از ژنوم، عامل، جهان و زمان‌بند ساخته شده است. هر تنظیم تازه با پیش‌فرض خاموش وارد می‌شود تا آزمایش‌های قبلی به‌هم نریزد. مسیر از ژنوم به کنش، پیامد، کپسول دارای منشأ، پذیرش و در نهایت بقا می‌رسد. برای هر یال، شناسه و اثرانگشت قبل و بعد ذخیره می‌شود تا عبور یک پیام با عوض شدن رفتار اشتباه گرفته نشود. شمارهٔ نسخه از پروندهٔ پیکربندی پروژه خوانده می‌شود و داخل بستهٔ شواهد ثابت نوشته نمی‌شود.</w:t>
      </w:r>
    </w:p>
    <w:p>
      <w:pPr>
        <w:jc w:val="both"/>
        <w:bidi w:val="1"/>
      </w:pPr>
      <w:r>
        <w:rPr>
          <w:rFonts w:ascii="Times New Roman" w:hAnsi="Times New Roman" w:cs="B Nazanin" w:eastAsia="B Nazanin"/>
          <w:sz w:val="20"/>
          <w:rtl w:val="1"/>
          <w:lang w:val="en-US" w:bidi="fa-IR" w:eastAsia="fa-IR"/>
        </w:rPr>
        <w:t>موتور نمی‌داند آزمایش مربوط به پزشکی است یا زندگی مصنوعی یا سخت‌افزار. این برچسب از بیرون می‌آید. آداپتور بستهٔ شواهد را می‌سازد و DomainProfile فقط نام حوزه را با خود دارد. حوزهٔ تازه یعنی پروفایل تازه، نه موتور دوم. شکل ۱ همین جدایی را نشان می‌دهد. موتور تیک، اثرانگشت و بازپخش را انجام می‌دهد و حسابرس فقط بسته را می‌بیند [14].</w:t>
      </w:r>
    </w:p>
    <w:p>
      <w:pPr>
        <w:pStyle w:val="FigurePosition"/>
        <w:jc w:val="center"/>
        <w:bidi w:val="1"/>
      </w:pPr>
      <w:r>
        <w:drawing>
          <wp:inline xmlns:a="http://schemas.openxmlformats.org/drawingml/2006/main" xmlns:pic="http://schemas.openxmlformats.org/drawingml/2006/picture">
            <wp:extent cx="2916000" cy="1044900"/>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916000" cy="1044900"/>
                    </a:xfrm>
                    <a:prstGeom prst="rect"/>
                  </pic:spPr>
                </pic:pic>
              </a:graphicData>
            </a:graphic>
          </wp:inline>
        </w:drawing>
      </w:r>
    </w:p>
    <w:p>
      <w:pPr>
        <w:pStyle w:val="Caption"/>
        <w:jc w:val="center"/>
        <w:bidi w:val="1"/>
      </w:pPr>
      <w:r>
        <w:rPr>
          <w:rFonts w:ascii="Times New Roman" w:hAnsi="Times New Roman" w:cs="B Nazanin" w:eastAsia="B Nazanin"/>
          <w:i/>
          <w:sz w:val="16"/>
          <w:rtl w:val="1"/>
          <w:lang w:val="en-US" w:bidi="fa-IR" w:eastAsia="fa-IR"/>
        </w:rPr>
        <w:t xml:space="preserve">شکل ۱: معماری پورت‌ها. موتور حوزه نمی‌شناسد؛ حسابرس روی بستهٔ شواهد کار می‌کند.</w:t>
      </w:r>
    </w:p>
    <w:p>
      <w:pPr>
        <w:pStyle w:val="TableTitle"/>
        <w:jc w:val="center"/>
        <w:bidi w:val="1"/>
      </w:pPr>
      <w:r>
        <w:rPr>
          <w:rFonts w:ascii="Times New Roman" w:hAnsi="Times New Roman" w:cs="B Nazanin" w:eastAsia="B Nazanin"/>
          <w:b/>
          <w:i/>
          <w:sz w:val="16"/>
          <w:rtl w:val="1"/>
          <w:lang w:val="en-US" w:bidi="fa-IR" w:eastAsia="fa-IR"/>
        </w:rPr>
        <w:t xml:space="preserve">جدول ۱: پورت‌ها؛ حوزه در آداپتور است نه در موتور</w:t>
      </w:r>
    </w:p>
    <w:tbl>
      <w:tblPr>
        <w:tblStyle w:val="TableGrid"/>
        <w:tblW w:type="auto" w:w="0"/>
        <w:jc w:val="center"/>
        <w:tblLook w:firstColumn="1" w:firstRow="1" w:lastColumn="0" w:lastRow="0" w:noHBand="0" w:noVBand="1" w:val="04A0"/>
        <w:bidiVisual w:val="1"/>
        <w:tblW w:w="5000" w:type="pct"/>
      </w:tblPr>
      <w:tblGrid>
        <w:gridCol w:w="3364"/>
        <w:gridCol w:w="3364"/>
        <w:gridCol w:w="3364"/>
      </w:tblGrid>
      <w:tr>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پورت</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ماژول</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نقش موتور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کمپین بومی HE01</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adapters.codontrace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اجرای جهان</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کمپین HE02 / HE03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adapters.codontrace_he02/03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خواندن مصنوع</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Avida (.dat)</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adapters.avida</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اسکلت</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MABE2 (CSV)</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adapters.mabe2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اسکلت</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جدول امتیاز اعلامی</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claimgate.domain</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بدون موتور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برچسب زیست‌پزشکی</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adapters.biomedical</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بدون موتور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پل ESP32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adapters.esp32_bridge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نمونهٔ اختیاری</w:t>
            </w:r>
          </w:p>
        </w:tc>
      </w:tr>
    </w:tbl>
    <w:p>
      <w:pPr>
        <w:jc w:val="both"/>
        <w:bidi w:val="1"/>
      </w:pPr>
      <w:r>
        <w:rPr>
          <w:rFonts w:ascii="Times New Roman" w:hAnsi="Times New Roman" w:cs="B Nazanin" w:eastAsia="B Nazanin"/>
          <w:sz w:val="20"/>
          <w:rtl w:val="1"/>
          <w:lang w:val="en-US" w:bidi="fa-IR" w:eastAsia="fa-IR"/>
        </w:rPr>
        <w:t>حسابرسی پنج مرحله دارد. آداپتور پرونده یا جدول را به یک بستهٔ واحد برمی‌گرداند. نقش بازوها به پنج نقش کلی نگاشت می‌شود: درمان، حذف سازوکار، خاموش کردن کانال، کنترل منفی، و دوز. اثرانگشت پیکربندی و، اگر موجود باشد، اثرانگشت پیش‌ثبت‌نامه بررسی می‌شود. سپس بازپخش، مقایسهٔ جفتی، بازهٔ اطمینان و تعداد بذر خوانده می‌شود. بالاترین سطحی برمی‌گردد که همهٔ شرط‌هایش برقرار باشد.</w:t>
      </w:r>
    </w:p>
    <w:p>
      <w:pPr>
        <w:pStyle w:val="Heading2"/>
        <w:jc w:val="right"/>
        <w:bidi w:val="1"/>
      </w:pPr>
      <w:r>
        <w:rPr>
          <w:rFonts w:ascii="Times New Roman" w:hAnsi="Times New Roman" w:cs="B Nazanin" w:eastAsia="B Nazanin"/>
          <w:b/>
          <w:sz w:val="20"/>
          <w:rtl w:val="1"/>
          <w:lang w:val="en-US" w:bidi="fa-IR" w:eastAsia="fa-IR"/>
        </w:rPr>
        <w:t xml:space="preserve">حسابرس و نردبان شواهد</w:t>
      </w:r>
    </w:p>
    <w:p>
      <w:pPr>
        <w:jc w:val="both"/>
        <w:bidi w:val="1"/>
      </w:pPr>
      <w:r>
        <w:rPr>
          <w:rFonts w:ascii="Times New Roman" w:hAnsi="Times New Roman" w:cs="B Nazanin" w:eastAsia="B Nazanin"/>
          <w:sz w:val="20"/>
          <w:rtl w:val="1"/>
          <w:lang w:val="en-US" w:bidi="fa-IR" w:eastAsia="fa-IR"/>
        </w:rPr>
        <w:t>حسابرس از موتور جداست و شش سطح دارد. سطح ۳ به مداخله یا حذف یال، کنترل منفی و بازپخش نیاز دارد. سطح ۴ بازهٔ اطمینان و حداقل شانزده بذر را هم می‌خواهد. سطح ۵ علاوه بر اینها آرشیو، محدودیت نوشته‌شده، و شواهد آماری و مداخله‌ای را با هم لازم دارد. این آستانه‌ها مربوط به همین پیاده‌سازی است. برابر بودن خروجی دو بازو، به‌خودی‌خود، نتیجه را باطل نمی‌کند. آزمون وقتی بی‌اعتبار شمرده می‌شود که خود مداخله هم اعمال نشده باشد.</w:t>
      </w:r>
    </w:p>
    <w:p>
      <w:pPr>
        <w:pStyle w:val="Heading2"/>
        <w:jc w:val="right"/>
        <w:bidi w:val="1"/>
      </w:pPr>
      <w:r>
        <w:rPr>
          <w:rFonts w:ascii="Times New Roman" w:hAnsi="Times New Roman" w:cs="B Nazanin" w:eastAsia="B Nazanin"/>
          <w:b/>
          <w:sz w:val="20"/>
          <w:rtl w:val="1"/>
          <w:lang w:val="en-US" w:bidi="fa-IR" w:eastAsia="fa-IR"/>
        </w:rPr>
        <w:t xml:space="preserve">آداپتورها</w:t>
      </w:r>
    </w:p>
    <w:p>
      <w:pPr>
        <w:jc w:val="both"/>
        <w:bidi w:val="1"/>
      </w:pPr>
      <w:r>
        <w:rPr>
          <w:rFonts w:ascii="Times New Roman" w:hAnsi="Times New Roman" w:cs="B Nazanin" w:eastAsia="B Nazanin"/>
          <w:sz w:val="20"/>
          <w:rtl w:val="1"/>
          <w:lang w:val="en-US" w:bidi="fa-IR" w:eastAsia="fa-IR"/>
        </w:rPr>
        <w:t>آداپتور HE01 فایل JSON را می‌خواند و نقش محلی را به نقش کلی برمی‌گرداند. بایت خود پرونده عوض نمی‌شود. پروندهٔ Avida و خروجی CSV مربوط به MABE2 هم از همین مسیر وارد می‌شوند. آداپتور زیست‌پزشکی جدول امتیاز را با زمینهٔ کاربرد و ریسک مدل پر می‌کند. اتصال سخت‌افزاری **اختیاری** است. برای فایل متنی، اثرانگشت بعد از یکسان‌سازی انتهای سطر ساخته می‌شود و هش فایل دودویی با Path.read_bytes() حساب می‌شود. آزمون پیش‌فرض، جایگشت علامت جفتی با تصحیح Holm و بازهٔ BCa است. بوت‌استرپ studentized و شمارش دقیق علامت برای n≤۴۰ اختیاری‌اند تا اعداد کمپین منتشرشده جابه‌جا نشود.</w:t>
      </w:r>
    </w:p>
    <w:p>
      <w:pPr>
        <w:pStyle w:val="Heading1"/>
        <w:jc w:val="right"/>
        <w:bidi w:val="1"/>
      </w:pPr>
      <w:r>
        <w:rPr>
          <w:rFonts w:ascii="Times New Roman" w:hAnsi="Times New Roman" w:cs="B Nazanin" w:eastAsia="B Nazanin"/>
          <w:b/>
          <w:sz w:val="22"/>
          <w:rtl w:val="1"/>
          <w:lang w:val="en-US" w:bidi="fa-IR" w:eastAsia="fa-IR"/>
        </w:rPr>
        <w:t xml:space="preserve">پروفایل زیست‌پزشکی</w:t>
      </w:r>
    </w:p>
    <w:p>
      <w:pPr>
        <w:jc w:val="both"/>
        <w:bidi w:val="1"/>
      </w:pPr>
      <w:r>
        <w:rPr>
          <w:rFonts w:ascii="Times New Roman" w:hAnsi="Times New Roman" w:cs="B Nazanin" w:eastAsia="B Nazanin"/>
          <w:sz w:val="20"/>
          <w:rtl w:val="1"/>
          <w:lang w:val="en-US" w:bidi="fa-IR" w:eastAsia="fa-IR"/>
        </w:rPr>
        <w:t>حوزهٔ پزشکی از DomainProfile می‌آید. نام‌های موجود alife، biomedical و hardware هستند [15]. simd_declared و samd_declared عبارت IMDRF را روی بسته یادداشت می‌کنند و خود محصول را رده‌بندی نمی‌کنند. اگر مدل فیزیک‌محور اعلام نشده باشد، نسبت به راهنمای سال ۲۰۲۳ خارج از دامنه می‌ماند، حتی وقتی خانه‌های شواهد پر شده باشند. رشته‌هایی مانند asme_vv40_passed، fda_cleared، clinical_validated و iec_62304_certified در پیکربندی قبول نمی‌شوند. از یک جدول اعلامی مهر تأیید بیرون نمی‌آید.</w:t>
      </w:r>
    </w:p>
    <w:p>
      <w:pPr>
        <w:pStyle w:val="TableTitle"/>
        <w:jc w:val="center"/>
        <w:bidi w:val="1"/>
      </w:pPr>
      <w:r>
        <w:rPr>
          <w:rFonts w:ascii="Times New Roman" w:hAnsi="Times New Roman" w:cs="B Nazanin" w:eastAsia="B Nazanin"/>
          <w:b/>
          <w:i/>
          <w:sz w:val="16"/>
          <w:rtl w:val="1"/>
          <w:lang w:val="en-US" w:bidi="fa-IR" w:eastAsia="fa-IR"/>
        </w:rPr>
        <w:t xml:space="preserve">جدول ۲: نگاشت واژگان تنظیم‌گری به برچسب‌های اعلامی</w:t>
      </w:r>
    </w:p>
    <w:tbl>
      <w:tblPr>
        <w:tblStyle w:val="TableGrid"/>
        <w:tblW w:type="auto" w:w="0"/>
        <w:jc w:val="center"/>
        <w:tblLook w:firstColumn="1" w:firstRow="1" w:lastColumn="0" w:lastRow="0" w:noHBand="0" w:noVBand="1" w:val="04A0"/>
        <w:bidiVisual w:val="1"/>
        <w:tblW w:w="5000" w:type="pct"/>
      </w:tblPr>
      <w:tblGrid>
        <w:gridCol w:w="3364"/>
        <w:gridCol w:w="3364"/>
        <w:gridCol w:w="3364"/>
      </w:tblGrid>
      <w:tr>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مفهوم استاندارد</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میدان اعلامی</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t xml:space="preserve">رفتار پورت</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پرسش مورد علاقه (QOI)</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question_of_interest</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ثبت پرسش</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زمینهٔ کاربرد (COU)</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context_of_use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ثبت زمینهٔ کاربرد</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تأثیر مدل / پیامد تصمیم</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model_influence / decision_consequence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ریسک تصمیم</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ریسک مدل</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model_risk</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ریسک مدل</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دسته‌های شواهد FDA 2023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fda_2023_evidence</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دستهٔ شواهد</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ردهٔ IEC 62304</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iec_62304_class</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ردهٔ نرم‌افزار</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دستهٔ IMDRF N12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imdrf_n12_category</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دستهٔ N12</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SiMD در برابر SaMD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device_software_kind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برچسب SiMD/SaMD</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اعتبار در برابر ریسک</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نردبان ۰–۵ روی ادعا</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 xml:space="preserve">درجهٔ ادعا روی نردبان</w:t>
            </w:r>
          </w:p>
        </w:tc>
      </w:tr>
    </w:tbl>
    <w:p>
      <w:pPr>
        <w:jc w:val="both"/>
        <w:bidi w:val="1"/>
      </w:pPr>
      <w:r>
        <w:rPr>
          <w:rFonts w:ascii="Times New Roman" w:hAnsi="Times New Roman" w:cs="B Nazanin" w:eastAsia="B Nazanin"/>
          <w:sz w:val="20"/>
          <w:rtl w:val="1"/>
          <w:lang w:val="en-US" w:bidi="fa-IR" w:eastAsia="fa-IR"/>
        </w:rPr>
        <w:t>جدول ۳ همان بسته‌ای است که در بخش ارزیابی به حسابرس داده شده است. امتیازها برای نشان دادن قالب جدول‌اند و سطحی که برمی‌گردد صفر است.</w:t>
      </w:r>
    </w:p>
    <w:p>
      <w:pPr>
        <w:pStyle w:val="TableTitle"/>
        <w:jc w:val="center"/>
        <w:bidi w:val="1"/>
      </w:pPr>
      <w:r>
        <w:rPr>
          <w:rFonts w:ascii="Times New Roman" w:hAnsi="Times New Roman" w:cs="B Nazanin" w:eastAsia="B Nazanin"/>
          <w:b/>
          <w:i/>
          <w:sz w:val="16"/>
          <w:rtl w:val="1"/>
          <w:lang w:val="en-US" w:bidi="fa-IR" w:eastAsia="fa-IR"/>
        </w:rPr>
        <w:t>جدول ۳: بستهٔ اعلامی مدل تجهیز؛ خروجی حسابرس سطح ۰</w:t>
      </w:r>
    </w:p>
    <w:tbl>
      <w:tblPr>
        <w:tblStyle w:val="TableGrid"/>
        <w:tblW w:type="auto" w:w="0"/>
        <w:jc w:val="center"/>
        <w:tblLook w:firstColumn="1" w:firstRow="1" w:lastColumn="0" w:lastRow="0" w:noHBand="0" w:noVBand="1" w:val="04A0"/>
        <w:bidiVisual w:val="1"/>
        <w:tblW w:w="5000" w:type="pct"/>
      </w:tblPr>
      <w:tblGrid>
        <w:gridCol w:w="3364"/>
        <w:gridCol w:w="3364"/>
        <w:gridCol w:w="3364"/>
      </w:tblGrid>
      <w:tr>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میدان</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مقدار نمونه</w:t>
            </w:r>
          </w:p>
        </w:tc>
        <w:tc>
          <w:tcPr>
            <w:tcW w:type="dxa" w:w="3364"/>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5"/>
                <w:rtl w:val="1"/>
                <w:lang w:val="en-US" w:bidi="fa-IR" w:eastAsia="fa-IR"/>
              </w:rPr>
              <w:t>نوع</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زمینهٔ کاربرد</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جدول مصنوعی؛ بدون ISO و ایمپلنت</w:t>
            </w:r>
            <w:r>
              <w:rPr>
                <w:rFonts w:ascii="Times New Roman" w:hAnsi="Times New Roman" w:cs="B Nazanin" w:eastAsia="B Nazanin"/>
                <w:b w:val="0"/>
                <w:sz w:val="15"/>
                <w:rtl w:val="1"/>
                <w:lang w:val="en-US" w:bidi="fa-IR" w:eastAsia="fa-IR"/>
              </w:rPr>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تأثیر / پیامد</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۲ / ۳؛ ریسک مدل ۳</w:t>
            </w:r>
            <w:r>
              <w:rPr>
                <w:rFonts w:ascii="Times New Roman" w:hAnsi="Times New Roman" w:cs="B Nazanin" w:eastAsia="B Nazanin"/>
                <w:b w:val="0"/>
                <w:sz w:val="15"/>
                <w:rtl w:val="1"/>
                <w:lang w:val="en-US" w:bidi="fa-IR" w:eastAsia="fa-IR"/>
              </w:rPr>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device_software_kind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simd_declared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ردهٔ IEC 62304</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B</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دستهٔ IMDRF N12</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II</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شواهد FDA 2023</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۱، ۳، ۸</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اعلامی</w:t>
            </w:r>
          </w:p>
        </w:tc>
      </w:tr>
      <w:tr>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5"/>
                <w:rtl w:val="1"/>
                <w:lang w:val="en-US" w:bidi="fa-IR" w:eastAsia="fa-IR"/>
              </w:rPr>
              <w:t>physics_based</w:t>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بله؛ سطح نردبان همچنان ۰</w:t>
            </w:r>
            <w:r>
              <w:rPr>
                <w:rFonts w:ascii="Times New Roman" w:hAnsi="Times New Roman" w:cs="B Nazanin" w:eastAsia="B Nazanin"/>
                <w:b w:val="0"/>
                <w:sz w:val="15"/>
                <w:rtl w:val="1"/>
                <w:lang w:val="en-US" w:bidi="fa-IR" w:eastAsia="fa-IR"/>
              </w:rPr>
            </w:r>
          </w:p>
        </w:tc>
        <w:tc>
          <w:tcPr>
            <w:tcW w:type="dxa" w:w="3364"/>
            <w:shd w:fill="F7F7F7" w:val="clear"/>
            <w:tcBorders>
              <w:top w:val="single" w:sz="4" w:color="4A4A4A"/>
              <w:left w:val="single" w:sz="4" w:color="4A4A4A"/>
              <w:bottom w:val="single" w:sz="4" w:color="4A4A4A"/>
              <w:right w:val="single" w:sz="4" w:color="4A4A4A"/>
            </w:tcBorders>
            <w:vAlign w:val="center"/>
          </w:tcPr>
          <w:p>
            <w:pPr>
              <w:jc w:val="center"/>
              <w:bidi w:val="1"/>
            </w:pPr>
            <w:r>
              <w:t>اجرایی</w:t>
            </w:r>
            <w:r>
              <w:rPr>
                <w:rFonts w:ascii="Times New Roman" w:hAnsi="Times New Roman" w:cs="B Nazanin" w:eastAsia="B Nazanin"/>
                <w:b w:val="0"/>
                <w:sz w:val="15"/>
                <w:rtl w:val="1"/>
                <w:lang w:val="en-US" w:bidi="fa-IR" w:eastAsia="fa-IR"/>
              </w:rPr>
            </w:r>
          </w:p>
        </w:tc>
      </w:tr>
    </w:tbl>
    <w:p>
      <w:pPr>
        <w:pStyle w:val="Heading1"/>
        <w:jc w:val="right"/>
        <w:bidi w:val="1"/>
      </w:pPr>
      <w:r>
        <w:rPr>
          <w:rFonts w:ascii="Times New Roman" w:hAnsi="Times New Roman" w:cs="B Nazanin" w:eastAsia="B Nazanin"/>
          <w:b/>
          <w:sz w:val="22"/>
          <w:rtl w:val="1"/>
          <w:lang w:val="en-US" w:bidi="fa-IR" w:eastAsia="fa-IR"/>
        </w:rPr>
        <w:t xml:space="preserve">ارزیابی</w:t>
      </w:r>
    </w:p>
    <w:p>
      <w:pPr>
        <w:pStyle w:val="Heading2"/>
        <w:jc w:val="right"/>
        <w:bidi w:val="1"/>
      </w:pPr>
      <w:r>
        <w:rPr>
          <w:rFonts w:ascii="Times New Roman" w:hAnsi="Times New Roman" w:cs="B Nazanin" w:eastAsia="B Nazanin"/>
          <w:b/>
          <w:sz w:val="20"/>
          <w:rtl w:val="1"/>
          <w:lang w:val="en-US" w:bidi="fa-IR" w:eastAsia="fa-IR"/>
        </w:rPr>
        <w:t xml:space="preserve">کمپین تأییدی HE01</w:t>
      </w:r>
    </w:p>
    <w:p>
      <w:pPr>
        <w:jc w:val="both"/>
        <w:bidi w:val="1"/>
      </w:pPr>
      <w:r>
        <w:rPr>
          <w:rFonts w:ascii="Times New Roman" w:hAnsi="Times New Roman" w:cs="B Nazanin" w:eastAsia="B Nazanin"/>
          <w:sz w:val="20"/>
          <w:rtl w:val="1"/>
          <w:lang w:val="en-US" w:bidi="fa-IR" w:eastAsia="fa-IR"/>
        </w:rPr>
        <w:t>HE01 طرحی از پیش ثبت‌شده برای سنجش سوگیری منشأ کپسول است. سی بذر جفتی، بازوی درمان را با چهار کنترل مقایسه می‌کند: محتوای تهی، کانال بسته، کانال روشن بدون سوگیری، و محتوای برخورده. پاسخ به شدت دوز جدا نگه داشته می‌شود تا با اثر اصلی مخلوط نشود. سنجهٔ اصلی میانگین انرژی پایانی گیرنده است و این انرژی داخل شبیه‌سازی تعریف شده، نه یک کمیت زیستی. در مصنوع منتشرشده سقف ادعا intervention_supported است. آزمون پیش‌فرض، جایگشت علامت جفتی، تصحیح Holm و بازهٔ BCa است.</w:t>
      </w:r>
    </w:p>
    <w:p>
      <w:pPr>
        <w:jc w:val="both"/>
        <w:bidi w:val="1"/>
      </w:pPr>
      <w:r>
        <w:rPr>
          <w:rFonts w:ascii="Times New Roman" w:hAnsi="Times New Roman" w:cs="B Nazanin" w:eastAsia="B Nazanin"/>
          <w:sz w:val="20"/>
          <w:rtl w:val="1"/>
          <w:lang w:val="en-US" w:bidi="fa-IR" w:eastAsia="fa-IR"/>
        </w:rPr>
        <w:t>فایل results_v7.json با پیشوند اثرانگشت 28f812c5 سه مقایسهٔ جفتی دارد [16]. نسبت به کانال روشن و بدون سوگیری منشأ، اختلاف ۱۶٫۴۹ واحد است. p خام جایگشت ۴٫۹۹۹۷۵×۱۰⁻⁵ و p پس از Holm برابر ۱٫۵۰×۱۰⁻⁴ است. بازهٔ BCa نیز [۱۴٫۲۵، ۱۹٫۱۴] است. نسبت به کانال بسته و محتوای تهی، اختلاف ۳۰٫۶۷ واحد و بازهٔ [۲۶٫۰۳، ۳۵٫۳۲] است. در مقایسهٔ اول کانال سر جای خود می‌ماند و فقط سوگیری برداشته می‌شود. در مقایسهٔ دوم هم محتوا عوض می‌شود و هم سوگیری. اگر همان سی اختلاف را با بوت‌استرپ studentized، که اختیاری است، دوباره حساب کنیم، بازه حدود ۱۴٫۰۵ تا ۱۹٫۳۰ می‌شود. این تفاوت از روش می‌آید و فایل v7 دست نخورده است.</w:t>
      </w:r>
    </w:p>
    <w:p>
      <w:pPr>
        <w:pStyle w:val="FigurePosition"/>
        <w:jc w:val="center"/>
        <w:bidi w:val="1"/>
      </w:pPr>
      <w:r>
        <w:drawing>
          <wp:inline xmlns:a="http://schemas.openxmlformats.org/drawingml/2006/main" xmlns:pic="http://schemas.openxmlformats.org/drawingml/2006/picture">
            <wp:extent cx="2916000" cy="874800"/>
            <wp:docPr id="2" name="Picture 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916000" cy="874800"/>
                    </a:xfrm>
                    <a:prstGeom prst="rect"/>
                  </pic:spPr>
                </pic:pic>
              </a:graphicData>
            </a:graphic>
          </wp:inline>
        </w:drawing>
      </w:r>
    </w:p>
    <w:p>
      <w:pPr>
        <w:pStyle w:val="Caption"/>
        <w:jc w:val="center"/>
        <w:bidi w:val="1"/>
      </w:pPr>
      <w:r>
        <w:rPr>
          <w:rFonts w:ascii="Times New Roman" w:hAnsi="Times New Roman" w:cs="B Nazanin" w:eastAsia="B Nazanin"/>
          <w:i/>
          <w:sz w:val="16"/>
          <w:rtl w:val="1"/>
          <w:lang w:val="en-US" w:bidi="fa-IR" w:eastAsia="fa-IR"/>
        </w:rPr>
        <w:t xml:space="preserve">شکل ۲: تفاضل میانگین انرژی و بازهٔ ۹۵٪ در ۳۰ بذر جفتی.</w:t>
      </w:r>
    </w:p>
    <w:p>
      <w:pPr>
        <w:pStyle w:val="TableTitle"/>
        <w:jc w:val="center"/>
        <w:bidi w:val="1"/>
      </w:pPr>
      <w:r>
        <w:rPr>
          <w:rFonts w:ascii="Times New Roman" w:hAnsi="Times New Roman" w:cs="B Nazanin" w:eastAsia="B Nazanin"/>
          <w:b/>
          <w:i/>
          <w:sz w:val="16"/>
          <w:rtl w:val="1"/>
          <w:lang w:val="en-US" w:bidi="fa-IR" w:eastAsia="fa-IR"/>
        </w:rPr>
        <w:t xml:space="preserve">جدول ۴: خلاصهٔ کمپین تأییدی HE01 از مصنوع v7 (بازتقطیع نشده)</w:t>
      </w:r>
    </w:p>
    <w:tbl>
      <w:tblPr>
        <w:tblStyle w:val="TableGrid"/>
        <w:tblW w:type="auto" w:w="0"/>
        <w:jc w:val="center"/>
        <w:tblLook w:firstColumn="1" w:firstRow="1" w:lastColumn="0" w:lastRow="0" w:noHBand="0" w:noVBand="1" w:val="04A0"/>
        <w:bidiVisual w:val="1"/>
        <w:tblW w:w="5000" w:type="pct"/>
      </w:tblPr>
      <w:tblGrid>
        <w:gridCol w:w="5046"/>
        <w:gridCol w:w="5046"/>
      </w:tblGrid>
      <w:tr>
        <w:tc>
          <w:tcPr>
            <w:tcW w:type="dxa" w:w="5046"/>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6"/>
                <w:rtl w:val="1"/>
                <w:lang w:val="en-US" w:bidi="fa-IR" w:eastAsia="fa-IR"/>
              </w:rPr>
              <w:t>سنجه</w:t>
            </w:r>
          </w:p>
        </w:tc>
        <w:tc>
          <w:tcPr>
            <w:tcW w:type="dxa" w:w="5046"/>
            <w:shd w:fill="1A365D"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color w:val="FFFFFF"/>
                <w:sz w:val="16"/>
                <w:rtl w:val="1"/>
                <w:lang w:val="en-US" w:bidi="fa-IR" w:eastAsia="fa-IR"/>
              </w:rPr>
              <w:t>مقدار منتشرشده</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تعداد بذر جفتی</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۳۰</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سنجهٔ اولیه</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میانگین ATP پایانی گیرنده</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source_bias_on در برابر source_bias_off</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t xml:space="preserve">Δ = ۱۶٫۴۹ ؛ BCa [۱۴٫۲۵، ۱۹٫۱۴]</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t xml:space="preserve">source_bias_on در برابر capsules_off / content_null</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t xml:space="preserve">Δ = ۳۰٫۶۷ ؛ BCa [۲۶٫۰۳، ۳۵٫۳۲]</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p جایگشت علامت (خام / Holm)</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۴٫۹۹۹۷۵×۱۰⁻⁵ / ۱٫۵۰×۱۰⁻⁴</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سقف ادعا در مصنوع</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intervention_supported</w:t>
            </w:r>
          </w:p>
        </w:tc>
      </w:tr>
      <w:tr>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بازپخش</w:t>
            </w:r>
          </w:p>
        </w:tc>
        <w:tc>
          <w:tcPr>
            <w:tcW w:type="dxa" w:w="5046"/>
            <w:shd w:fill="F7F7F7" w:val="clear"/>
            <w:tcBorders>
              <w:top w:val="single" w:sz="4" w:color="4A4A4A"/>
              <w:left w:val="single" w:sz="4" w:color="4A4A4A"/>
              <w:bottom w:val="single" w:sz="4" w:color="4A4A4A"/>
              <w:right w:val="single" w:sz="4" w:color="4A4A4A"/>
            </w:tcBorders>
            <w:vAlign w:val="center"/>
          </w:tcPr>
          <w:p>
            <w:pPr>
              <w:jc w:val="center"/>
              <w:bidi w:val="1"/>
            </w:pPr>
            <w:r/>
            <w:r>
              <w:rPr>
                <w:rFonts w:ascii="Times New Roman" w:hAnsi="Times New Roman" w:cs="B Nazanin" w:eastAsia="B Nazanin"/>
                <w:b w:val="0"/>
                <w:sz w:val="16"/>
                <w:rtl w:val="1"/>
                <w:lang w:val="en-US" w:bidi="fa-IR" w:eastAsia="fa-IR"/>
              </w:rPr>
              <w:t>در بستهٔ شواهد ثبت می‌شود</w:t>
            </w:r>
          </w:p>
        </w:tc>
      </w:tr>
    </w:tbl>
    <w:p>
      <w:pPr>
        <w:pStyle w:val="Heading2"/>
        <w:jc w:val="right"/>
        <w:bidi w:val="1"/>
      </w:pPr>
      <w:r>
        <w:rPr>
          <w:rFonts w:ascii="Times New Roman" w:hAnsi="Times New Roman" w:cs="B Nazanin" w:eastAsia="B Nazanin"/>
          <w:b/>
          <w:sz w:val="20"/>
          <w:rtl w:val="1"/>
          <w:lang w:val="en-US" w:bidi="fa-IR" w:eastAsia="fa-IR"/>
        </w:rPr>
        <w:t xml:space="preserve">حسابرس روی بستهٔ اعلامی</w:t>
      </w:r>
    </w:p>
    <w:p>
      <w:pPr>
        <w:jc w:val="both"/>
        <w:bidi w:val="1"/>
      </w:pPr>
      <w:r>
        <w:rPr>
          <w:rFonts w:ascii="Times New Roman" w:hAnsi="Times New Roman" w:cs="B Nazanin" w:eastAsia="B Nazanin"/>
          <w:sz w:val="20"/>
          <w:rtl w:val="1"/>
          <w:lang w:val="en-US" w:bidi="fa-IR" w:eastAsia="fa-IR"/>
        </w:rPr>
        <w:t>جدول ۳ با زمینهٔ کاربرد یک مدل تجهیز ساخته و به حسابرس داده شد. سؤال این بود که آیا جدول امتیاز اجازه می‌دهد اندازهٔ بدترین حالت انتخاب شود. زمینه فقط همان جدول است و آزمون ISO 14879-1 و ایمپلنت در میان نیست. تأثیر مدل ۲ و پیامد تصمیم ۳ اعلام شده، بنابراین ریسک مدل ۳ ثبت می‌شود. امتیاز درمان ۰٫۱۲، ۰٫۱۱ و ۰٫۱۳ و امتیاز کنترل ۰٫۲۰، ۰٫۱۹ و ۰٫۲۱ است. برچسب‌های همراه عبارت‌اند از simd_declared، ردهٔ B در IEC 62304، دستهٔ II در IMDRF، دسته‌های شواهد ۱ و ۳ و ۸، و اعلام فیزیک‌محور بودن مدل. خروجی سطح صفر بود. برای سطح ۱ فقط مانیفست مصنوع کم است. HE01 چون بازپخش، مداخله، کنترل منفی، بازه و سی بذر دارد به سطح ۴ می‌رسد. برچسب رده و دستهٔ شواهد این فاصله را عوض نمی‌کند.</w:t>
      </w:r>
    </w:p>
    <w:p>
      <w:pPr>
        <w:pStyle w:val="Heading2"/>
        <w:jc w:val="right"/>
        <w:bidi w:val="1"/>
      </w:pPr>
      <w:r>
        <w:rPr>
          <w:rFonts w:ascii="Times New Roman" w:hAnsi="Times New Roman" w:cs="B Nazanin" w:eastAsia="B Nazanin"/>
          <w:b/>
          <w:sz w:val="20"/>
          <w:rtl w:val="1"/>
          <w:lang w:val="en-US" w:bidi="fa-IR" w:eastAsia="fa-IR"/>
        </w:rPr>
        <w:t xml:space="preserve">نسبت این کار با V&amp;V 40</w:t>
      </w:r>
    </w:p>
    <w:p>
      <w:pPr>
        <w:jc w:val="both"/>
        <w:bidi w:val="1"/>
      </w:pPr>
      <w:r>
        <w:rPr>
          <w:rFonts w:ascii="Times New Roman" w:hAnsi="Times New Roman" w:cs="B Nazanin" w:eastAsia="B Nazanin"/>
          <w:sz w:val="20"/>
          <w:rtl w:val="1"/>
          <w:lang w:val="en-US" w:bidi="fa-IR" w:eastAsia="fa-IR"/>
        </w:rPr>
        <w:t>ASME V&amp;V 40 روش اعتبار یک مدل در زمینهٔ کاربرد مشخص است. در این بستر، پرسش، زمینه، تأثیر و پیامد ثبت می‌شود و سپس ادعای همراه بسته درجه می‌گیرد. اگر آزمون نیمکت یا in vivo در دست باشد، بیرون از نرم‌افزار جمع می‌شود و فقط به شکل دستهٔ راهنمای FDA ۲۰۲۳ اعلام می‌گردد. کودون‌تریس جای آن آزمون‌ها را نمی‌گیرد و حساب ادعا را نگه می‌دارد. نسخه از پیکربندی پروژه خوانده می‌شود و اعداد کمپین در این متن دوباره تولید نشده‌اند.</w:t>
      </w:r>
    </w:p>
    <w:p>
      <w:pPr>
        <w:pStyle w:val="Heading1"/>
        <w:jc w:val="right"/>
        <w:bidi w:val="1"/>
      </w:pPr>
      <w:r>
        <w:rPr>
          <w:rFonts w:ascii="Times New Roman" w:hAnsi="Times New Roman" w:cs="B Nazanin" w:eastAsia="B Nazanin"/>
          <w:b/>
          <w:sz w:val="22"/>
          <w:rtl w:val="1"/>
          <w:lang w:val="en-US" w:bidi="fa-IR" w:eastAsia="fa-IR"/>
        </w:rPr>
        <w:t xml:space="preserve">محدودیت‌ها</w:t>
      </w:r>
    </w:p>
    <w:p>
      <w:pPr>
        <w:jc w:val="both"/>
        <w:bidi w:val="1"/>
      </w:pPr>
      <w:r>
        <w:rPr>
          <w:rFonts w:ascii="Times New Roman" w:hAnsi="Times New Roman" w:cs="B Nazanin" w:eastAsia="B Nazanin"/>
          <w:sz w:val="20"/>
          <w:rtl w:val="1"/>
          <w:lang w:val="en-US" w:bidi="fa-IR" w:eastAsia="fa-IR"/>
        </w:rPr>
        <w:t>موضوع این مطالعه درجهٔ ادعای همراه مصنوع است. راهنمای FDA سال ۲۰۲۳ مدل یادگیری ماشین مستقل را در بر نمی‌گیرد. در HE01 مقایسه با کنترل محتوایی، مداخله‌ای مرکب است. گام بعدی، گذاشتن مدل فیزیک‌محور واقعی با مانیفست و زمینهٔ کاربرد مشخص روی همین پورت است.</w:t>
      </w:r>
    </w:p>
    <w:p>
      <w:pPr>
        <w:pStyle w:val="Heading1"/>
        <w:jc w:val="right"/>
        <w:bidi w:val="1"/>
      </w:pPr>
      <w:r>
        <w:rPr>
          <w:rFonts w:ascii="Times New Roman" w:hAnsi="Times New Roman" w:cs="B Nazanin" w:eastAsia="B Nazanin"/>
          <w:b/>
          <w:sz w:val="22"/>
          <w:rtl w:val="1"/>
          <w:lang w:val="en-US" w:bidi="fa-IR" w:eastAsia="fa-IR"/>
        </w:rPr>
        <w:t xml:space="preserve">نتیجه‌گیری</w:t>
      </w:r>
    </w:p>
    <w:p>
      <w:pPr>
        <w:jc w:val="both"/>
        <w:bidi w:val="1"/>
      </w:pPr>
      <w:r>
        <w:rPr>
          <w:rFonts w:ascii="Times New Roman" w:hAnsi="Times New Roman" w:cs="B Nazanin" w:eastAsia="B Nazanin"/>
          <w:sz w:val="20"/>
          <w:rtl w:val="1"/>
          <w:lang w:val="en-US" w:bidi="fa-IR" w:eastAsia="fa-IR"/>
        </w:rPr>
        <w:t>کودون‌تریس جنسیس اجرا، مداخله و حسابرسی ادعا را روی یک نردبان جمع کرده و موتور را نسبت به حوزه بی‌طرف گذاشته است. پروفایل زیست‌پزشکی واژگان ASME V&amp;V 40، راهنمای FDA ۲۰۲۳، IEC 62304 و IMDRF را به همین نردبان می‌آورد. HE01 اختلاف انرژی را با بازهٔ اطمینان و سی بذر جفتی نشان داد. جدول اعلامی تجهیز، با ریسک مدل ۳ و برچسب‌های تنظیم‌گری، در سطح صفر ماند. برچسب استاندارد به‌تنهایی سطح ادعا را بالا نمی‌برد.</w:t>
      </w:r>
    </w:p>
    <w:p>
      <w:pPr>
        <w:jc w:val="right"/>
        <w:bidi w:val="1"/>
      </w:pPr>
      <w:r>
        <w:rPr>
          <w:rFonts w:ascii="Times New Roman" w:hAnsi="Times New Roman" w:cs="B Nazanin" w:eastAsia="B Nazanin"/>
          <w:sz w:val="18"/>
          <w:rtl w:val="1"/>
          <w:lang w:val="en-US" w:bidi="fa-IR" w:eastAsia="fa-IR"/>
        </w:rPr>
        <w:t xml:space="preserve">داده و کد: https://github.com/Parvaz-Jamei/codontrace-genesis — DOI: 10.5281/zenodo.20337435</w:t>
      </w:r>
    </w:p>
    <w:p>
      <w:pPr>
        <w:pStyle w:val="Heading"/>
        <w:jc w:val="right"/>
        <w:bidi w:val="1"/>
      </w:pPr>
      <w:r>
        <w:rPr>
          <w:rFonts w:ascii="Times New Roman" w:hAnsi="Times New Roman" w:cs="B Nazanin" w:eastAsia="B Nazanin"/>
          <w:b/>
          <w:sz w:val="22"/>
          <w:rtl w:val="1"/>
          <w:lang w:val="en-US" w:bidi="fa-IR" w:eastAsia="fa-IR"/>
        </w:rPr>
        <w:t xml:space="preserve">مراجع</w:t>
      </w:r>
    </w:p>
    <w:p>
      <w:pPr>
        <w:pStyle w:val="References"/>
        <w:jc w:val="left"/>
        <w:bidi w:val="1"/>
      </w:pPr>
      <w:r>
        <w:rPr>
          <w:rFonts w:ascii="Times New Roman" w:hAnsi="Times New Roman" w:cs="B Nazanin" w:eastAsia="B Nazanin"/>
          <w:sz w:val="16"/>
          <w:rtl w:val="1"/>
          <w:lang w:val="en-US" w:bidi="fa-IR" w:eastAsia="fa-IR"/>
        </w:rPr>
        <w:t xml:space="preserve">[1] U.S. Food and Drug Administration, “Assessing the Credibility of Computational Modeling and Simulation in Medical Device Submissions,” Guidance for Industry and FDA Staff, Nov. 2023.</w:t>
      </w:r>
    </w:p>
    <w:p>
      <w:pPr>
        <w:pStyle w:val="References"/>
        <w:jc w:val="left"/>
        <w:bidi w:val="1"/>
      </w:pPr>
      <w:r>
        <w:rPr>
          <w:rFonts w:ascii="Times New Roman" w:hAnsi="Times New Roman" w:cs="B Nazanin" w:eastAsia="B Nazanin"/>
          <w:sz w:val="16"/>
          <w:rtl w:val="1"/>
          <w:lang w:val="en-US" w:bidi="fa-IR" w:eastAsia="fa-IR"/>
        </w:rPr>
        <w:t xml:space="preserve">[2] ASME, V&amp;V 40-2018: Assessing Credibility of Computational Modeling through Verification and Validation: Application to Medical Devices. New York, NY, USA: ASME, 2018.</w:t>
      </w:r>
    </w:p>
    <w:p>
      <w:pPr>
        <w:pStyle w:val="References"/>
        <w:jc w:val="left"/>
        <w:bidi w:val="1"/>
      </w:pPr>
      <w:r>
        <w:rPr>
          <w:rFonts w:ascii="Times New Roman" w:hAnsi="Times New Roman" w:cs="B Nazanin" w:eastAsia="B Nazanin"/>
          <w:sz w:val="16"/>
          <w:rtl w:val="1"/>
          <w:lang w:val="en-US" w:bidi="fa-IR" w:eastAsia="fa-IR"/>
        </w:rPr>
        <w:t xml:space="preserve">[3] NASA, NASA-STD-7009B: Standard for Models and Simulations. Washington, DC, USA: NASA, 5 Mar. 2024.</w:t>
      </w:r>
    </w:p>
    <w:p>
      <w:pPr>
        <w:pStyle w:val="References"/>
        <w:jc w:val="left"/>
        <w:bidi w:val="1"/>
      </w:pPr>
      <w:r>
        <w:rPr>
          <w:rFonts w:ascii="Times New Roman" w:hAnsi="Times New Roman" w:cs="B Nazanin" w:eastAsia="B Nazanin"/>
          <w:sz w:val="16"/>
          <w:rtl w:val="1"/>
          <w:lang w:val="en-US" w:bidi="fa-IR" w:eastAsia="fa-IR"/>
        </w:rPr>
        <w:t xml:space="preserve">[4] Regulation (EU) 2024/1689 of the European Parliament and of the Council (Artificial Intelligence Act), Annex IV.</w:t>
      </w:r>
    </w:p>
    <w:p>
      <w:pPr>
        <w:pStyle w:val="References"/>
        <w:jc w:val="left"/>
        <w:bidi w:val="1"/>
      </w:pPr>
      <w:r>
        <w:rPr>
          <w:rFonts w:ascii="Times New Roman" w:hAnsi="Times New Roman" w:cs="B Nazanin" w:eastAsia="B Nazanin"/>
          <w:sz w:val="16"/>
          <w:rtl w:val="1"/>
          <w:lang w:val="en-US" w:bidi="fa-IR" w:eastAsia="fa-IR"/>
        </w:rPr>
        <w:t xml:space="preserve">[5] M. Viceconti, F. Pappalardo, B. Rodriguez, M. Horner, J. Bischoff, and F. Musuamba Tshinanu, “In silico trials: Verification, validation and uncertainty quantification of predictive models used in the regulatory evaluation of biomedical products,” Methods, vol. 185, pp. 120–127, 2021, doi: 10.1016/j.ymeth.2020.01.011.</w:t>
      </w:r>
    </w:p>
    <w:p>
      <w:pPr>
        <w:pStyle w:val="References"/>
        <w:jc w:val="left"/>
        <w:bidi w:val="1"/>
      </w:pPr>
      <w:r>
        <w:rPr>
          <w:rFonts w:ascii="Times New Roman" w:hAnsi="Times New Roman" w:cs="B Nazanin" w:eastAsia="B Nazanin"/>
          <w:sz w:val="16"/>
          <w:rtl w:val="1"/>
          <w:lang w:val="en-US" w:bidi="fa-IR" w:eastAsia="fa-IR"/>
        </w:rPr>
        <w:t xml:space="preserve">[6] F. Angermeir, M. Amougou, M. Kreitz, et al., “Reflections on the reproducibility of commercial LLM performance in empirical software engineering studies,” Proc. IEEE/ACM 48th Int. Conf. Software Engineering (ICSE), 2026, doi: 10.1145/3744916.3773207.</w:t>
      </w:r>
    </w:p>
    <w:p>
      <w:pPr>
        <w:pStyle w:val="References"/>
        <w:jc w:val="left"/>
        <w:bidi w:val="1"/>
      </w:pPr>
      <w:r>
        <w:rPr>
          <w:rFonts w:ascii="Times New Roman" w:hAnsi="Times New Roman" w:cs="B Nazanin" w:eastAsia="B Nazanin"/>
          <w:sz w:val="16"/>
          <w:rtl w:val="1"/>
          <w:lang w:val="en-US" w:bidi="fa-IR" w:eastAsia="fa-IR"/>
        </w:rPr>
        <w:t xml:space="preserve">[7] ASME, VVUQ 40.1-2026: An Example of Assessing Computational Model Credibility Using the ASME V&amp;V 40 Risk-Based Framework: Tibial Tray Component Worst-Case Size Identification for Fatigue Testing. New York, NY, USA: ASME, 2026.</w:t>
      </w:r>
    </w:p>
    <w:p>
      <w:pPr>
        <w:pStyle w:val="References"/>
        <w:jc w:val="left"/>
        <w:bidi w:val="1"/>
      </w:pPr>
      <w:r>
        <w:rPr>
          <w:rFonts w:ascii="Times New Roman" w:hAnsi="Times New Roman" w:cs="B Nazanin" w:eastAsia="B Nazanin"/>
          <w:sz w:val="16"/>
          <w:rtl w:val="1"/>
          <w:lang w:val="en-US" w:bidi="fa-IR" w:eastAsia="fa-IR"/>
        </w:rPr>
        <w:t xml:space="preserve">[8] IEC 62304:2006+AMD1:2015, Medical device software — Software life cycle processes. Geneva, Switzerland: IEC.</w:t>
      </w:r>
    </w:p>
    <w:p>
      <w:pPr>
        <w:pStyle w:val="References"/>
        <w:jc w:val="left"/>
        <w:bidi w:val="1"/>
      </w:pPr>
      <w:r>
        <w:rPr>
          <w:rFonts w:ascii="Times New Roman" w:hAnsi="Times New Roman" w:cs="B Nazanin" w:eastAsia="B Nazanin"/>
          <w:sz w:val="16"/>
          <w:rtl w:val="1"/>
          <w:lang w:val="en-US" w:bidi="fa-IR" w:eastAsia="fa-IR"/>
        </w:rPr>
        <w:t xml:space="preserve">[9] IMDRF, Software as a Medical Device: Possible Framework for Risk Categorization and Corresponding Considerations, IMDRF/SaMD WG/N12 FINAL:2014.</w:t>
      </w:r>
    </w:p>
    <w:p>
      <w:pPr>
        <w:pStyle w:val="References"/>
        <w:jc w:val="left"/>
        <w:bidi w:val="1"/>
      </w:pPr>
      <w:r>
        <w:rPr>
          <w:rFonts w:ascii="Times New Roman" w:hAnsi="Times New Roman" w:cs="B Nazanin" w:eastAsia="B Nazanin"/>
          <w:sz w:val="16"/>
          <w:rtl w:val="1"/>
          <w:lang w:val="en-US" w:bidi="fa-IR" w:eastAsia="fa-IR"/>
        </w:rPr>
        <w:t xml:space="preserve">[10] IMDRF, Characterization Considerations for Medical Device Software and Software-Specific Risk, IMDRF/SaMD WG/N81 FINAL:2025, Jan. 2025.</w:t>
      </w:r>
    </w:p>
    <w:p>
      <w:pPr>
        <w:pStyle w:val="References"/>
        <w:jc w:val="left"/>
        <w:bidi w:val="1"/>
      </w:pPr>
      <w:r>
        <w:rPr>
          <w:rFonts w:ascii="Times New Roman" w:hAnsi="Times New Roman" w:cs="B Nazanin" w:eastAsia="B Nazanin"/>
          <w:sz w:val="16"/>
          <w:rtl w:val="1"/>
          <w:lang w:val="en-US" w:bidi="fa-IR" w:eastAsia="fa-IR"/>
        </w:rPr>
        <w:t xml:space="preserve">[11] C. Ofria and C. O. Wilke, “Avida: A software platform for research in computational evolutionary biology,” Artif. Life, vol. 10, no. 2, pp. 191–229, 2004, doi: 10.1162/106454604773563612.</w:t>
      </w:r>
    </w:p>
    <w:p>
      <w:pPr>
        <w:pStyle w:val="References"/>
        <w:jc w:val="left"/>
        <w:bidi w:val="1"/>
      </w:pPr>
      <w:r>
        <w:rPr>
          <w:rFonts w:ascii="Times New Roman" w:hAnsi="Times New Roman" w:cs="B Nazanin" w:eastAsia="B Nazanin"/>
          <w:sz w:val="16"/>
          <w:rtl w:val="1"/>
          <w:lang w:val="en-US" w:bidi="fa-IR" w:eastAsia="fa-IR"/>
        </w:rPr>
        <w:t xml:space="preserve">[12] M. Flageat, H. Janmohamed, B. Lim, and A. Cully, “Exploring the performance-reproducibility trade-off in quality-diversity,” IEEE Trans. Evol. Comput., vol. 30, no. 1, pp. 286–295, Feb. 2026, doi: 10.1109/TEVC.2025.3548438.</w:t>
      </w:r>
    </w:p>
    <w:p>
      <w:pPr>
        <w:pStyle w:val="References"/>
        <w:jc w:val="left"/>
        <w:bidi w:val="1"/>
      </w:pPr>
      <w:r>
        <w:rPr>
          <w:rFonts w:ascii="Times New Roman" w:hAnsi="Times New Roman" w:cs="B Nazanin" w:eastAsia="B Nazanin"/>
          <w:sz w:val="16"/>
          <w:rtl w:val="1"/>
          <w:lang w:val="en-US" w:bidi="fa-IR" w:eastAsia="fa-IR"/>
        </w:rPr>
        <w:t xml:space="preserve">[13] V. Grimm et al., “The ODD protocol for describing agent-based and other simulation models: A second update to improve clarity, replication, and structural realism,” J. Artif. Soc. Soc. Simul., vol. 23, no. 2, art. 7, 2020, doi: 10.18564/jasss.4259.</w:t>
      </w:r>
    </w:p>
    <w:p>
      <w:pPr>
        <w:pStyle w:val="References"/>
        <w:jc w:val="left"/>
        <w:bidi w:val="1"/>
      </w:pPr>
      <w:r>
        <w:rPr>
          <w:rFonts w:ascii="Times New Roman" w:hAnsi="Times New Roman" w:cs="B Nazanin" w:eastAsia="B Nazanin"/>
          <w:sz w:val="16"/>
          <w:rtl w:val="1"/>
          <w:lang w:val="en-US" w:bidi="fa-IR" w:eastAsia="fa-IR"/>
        </w:rPr>
        <w:t xml:space="preserve">[14] CodonTrace Genesis, “Ports, not a domain-specific engine,” docs/ARCHITECTURE_PORTS.md, 2026.</w:t>
      </w:r>
    </w:p>
    <w:p>
      <w:pPr>
        <w:pStyle w:val="References"/>
        <w:jc w:val="left"/>
        <w:bidi w:val="1"/>
      </w:pPr>
      <w:r>
        <w:rPr>
          <w:rFonts w:ascii="Times New Roman" w:hAnsi="Times New Roman" w:cs="B Nazanin" w:eastAsia="B Nazanin"/>
          <w:sz w:val="16"/>
          <w:rtl w:val="1"/>
          <w:lang w:val="en-US" w:bidi="fa-IR" w:eastAsia="fa-IR"/>
        </w:rPr>
        <w:t xml:space="preserve">[15] CodonTrace Genesis, “Biomedical engineering interface,” docs/BIOMEDICAL_ENGINEERING.md, 2026.</w:t>
      </w:r>
    </w:p>
    <w:p>
      <w:pPr>
        <w:pStyle w:val="References"/>
        <w:jc w:val="left"/>
        <w:bidi w:val="1"/>
      </w:pPr>
      <w:r>
        <w:rPr>
          <w:rFonts w:ascii="Times New Roman" w:hAnsi="Times New Roman" w:cs="B Nazanin" w:eastAsia="B Nazanin"/>
          <w:sz w:val="16"/>
          <w:rtl w:val="1"/>
          <w:lang w:val="en-US" w:bidi="fa-IR" w:eastAsia="fa-IR"/>
        </w:rPr>
        <w:t xml:space="preserve">[16] Hard Experiment 01 confirmatory artifact, docs/hard_experiment_01/results_v7.json, digest prefix 28f812c5.</w:t>
      </w:r>
    </w:p>
    <w:p>
      <w:pPr>
        <w:pStyle w:val="References"/>
        <w:jc w:val="left"/>
        <w:bidi w:val="1"/>
      </w:pPr>
      <w:r>
        <w:rPr>
          <w:rFonts w:ascii="Times New Roman" w:hAnsi="Times New Roman" w:cs="B Nazanin" w:eastAsia="B Nazanin"/>
          <w:sz w:val="16"/>
          <w:rtl w:val="1"/>
          <w:lang w:val="en-US" w:bidi="fa-IR" w:eastAsia="fa-IR"/>
        </w:rPr>
        <w:t xml:space="preserve">[17] P. Pathmanathan, K. Aycock, A. Badal, et al., “Credibility assessment of in silico clinical trials for medical devices,” PLoS Comput. Biol., vol. 20, no. 8, e1012289, 2024, doi: 10.1371/journal.pcbi.1012289.</w:t>
      </w:r>
    </w:p>
    <w:p>
      <w:pPr>
        <w:pStyle w:val="References"/>
        <w:jc w:val="left"/>
        <w:bidi w:val="1"/>
      </w:pPr>
      <w:r>
        <w:rPr>
          <w:rFonts w:ascii="Times New Roman" w:hAnsi="Times New Roman" w:cs="B Nazanin" w:eastAsia="B Nazanin"/>
          <w:sz w:val="16"/>
          <w:rtl w:val="1"/>
          <w:lang w:val="en-US" w:bidi="fa-IR" w:eastAsia="fa-IR"/>
        </w:rPr>
        <w:t xml:space="preserve">[18] B. A. Craven, C. A. Basciano, P. Afshari, et al., “Computational modeling and simulation for medical devices: a summary of the 2024 FDA/MDIC Symposium,” Prog. Biomed. Eng., vol. 8, no. 1, 013001, 2026, doi: 10.1088/2516-1091/ae1c05.</w:t>
      </w:r>
    </w:p>
    <w:sectPr w:rsidR="00A30F7A" w:rsidRPr="00B96CBB" w:rsidSect="00BF479B">
      <w:headerReference w:type="even" r:id="rId15"/>
      <w:endnotePr>
        <w:numFmt w:val="decimal"/>
      </w:endnotePr>
      <w:type w:val="continuous"/>
      <w:pgSz w:w="11906" w:h="16838" w:code="9"/>
      <w:pgMar w:top="1080" w:right="907" w:bottom="1440" w:left="907" w:header="850" w:footer="562" w:gutter="0"/>
      <w:cols w:num="2" w:space="340"/>
      <w:titlePg/>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embedRegular r:id="rFontNazanin" w:fontKey="{93468E4A-5ADC-4EF9-A182-E6A3A5312047}"/>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r>
    <w:r>
      <w:rPr>
        <w:rStyle w:val="PageNumber"/>
      </w:rPr>
    </w:r>
    <w:r>
      <w:rPr>
        <w:rStyle w:val="PageNumber"/>
        <w:rtl/>
      </w:rPr>
    </w:r>
    <w:r>
      <w:rPr>
        <w:rStyle w:val="PageNumber"/>
        <w:noProof/>
        <w:rtl/>
      </w:rPr>
      <w:t/>
    </w:r>
    <w:r>
      <w:rPr>
        <w:rStyle w:val="PageNumber"/>
        <w:rtl/>
      </w:rPr>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نخستین کنگره ملی مهندسی پزشکی، هوش مصنوعی و علوم شناختی — دانشگاه فردوسی مشهد، آبان ۱۴۰۵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line="300" w:lineRule="exact" w:after="40"/>
      <w:ind w:firstLine="170"/>
      <w:jc w:val="both"/>
      <w:textAlignment w:val="baseline"/>
    </w:pPr>
    <w:rPr>
      <w:rFonts w:cs="B Nazanin" w:ascii="Times New Roman" w:hAnsi="Times New Roman"/>
      <w:color w:val="000000"/>
      <w:sz w:val="20"/>
      <w:szCs w:val="24"/>
      <w:lang w:bidi="fa-IR"/>
    </w:rPr>
  </w:style>
  <w:style w:type="paragraph" w:styleId="Heading1">
    <w:name w:val="heading 1"/>
    <w:basedOn w:val="Normal"/>
    <w:autoRedefine/>
    <w:qFormat/>
    <w:rsid w:val="008764A8"/>
    <w:pPr>
      <w:keepNext/>
      <w:numPr>
        <w:numId w:val="14"/>
      </w:numPr>
      <w:spacing w:before="140" w:after="60"/>
      <w:ind w:left="357" w:hanging="357"/>
      <w:jc w:val="left"/>
      <w:outlineLvl w:val="0"/>
    </w:pPr>
    <w:rPr>
      <w:rFonts w:ascii="Times New Roman" w:hAnsi="Times New Roman" w:cs="B Nazanin"/>
      <w:b/>
      <w:bCs/>
      <w:color w:val="000000"/>
      <w:kern w:val="28"/>
      <w:sz w:val="20"/>
      <w:szCs w:val="24"/>
    </w:rPr>
  </w:style>
  <w:style w:type="paragraph" w:styleId="Heading2">
    <w:name w:val="heading 2"/>
    <w:basedOn w:val="Heading1"/>
    <w:link w:val="Heading2Char"/>
    <w:autoRedefine/>
    <w:qFormat/>
    <w:rsid w:val="00BB042B"/>
    <w:pPr>
      <w:keepNext/>
      <w:numPr>
        <w:ilvl w:val="1"/>
      </w:numPr>
      <w:spacing w:before="140" w:after="60"/>
      <w:jc w:val="left"/>
      <w:outlineLvl w:val="1"/>
    </w:pPr>
    <w:rPr>
      <w:rFonts w:ascii="Times New Roman" w:hAnsi="Times New Roman" w:cs="B Nazanin"/>
      <w:color w:val="000000"/>
      <w:sz w:val="20"/>
      <w:szCs w:val="24"/>
    </w:rPr>
  </w:style>
  <w:style w:type="paragraph" w:styleId="Heading3">
    <w:name w:val="heading 3"/>
    <w:basedOn w:val="Heading2"/>
    <w:autoRedefine/>
    <w:qFormat/>
    <w:rsid w:val="00042A36"/>
    <w:pPr>
      <w:numPr>
        <w:ilvl w:val="2"/>
        <w:numId w:val="25"/>
      </w:numPr>
      <w:outlineLvl w:val="2"/>
    </w:pPr>
    <w:rPr>
      <w:rFonts w:ascii="Times New Roman" w:hAnsi="Times New Roman" w:cs="B Nazanin"/>
      <w:smallCaps/>
      <w:color w:val="000000"/>
      <w:sz w:val="20"/>
      <w:szCs w:val="24"/>
    </w:rPr>
  </w:style>
  <w:style w:type="paragraph" w:styleId="Heading4">
    <w:name w:val="heading 4"/>
    <w:basedOn w:val="Normal"/>
    <w:next w:val="Normal"/>
    <w:qFormat/>
    <w:pPr>
      <w:keepNext/>
      <w:spacing w:before="120" w:after="60"/>
      <w:outlineLvl w:val="3"/>
    </w:pPr>
    <w:rPr>
      <w:rFonts w:ascii="Times New Roman" w:hAnsi="Times New Roman" w:cs="B Nazanin"/>
      <w:i/>
      <w:color w:val="000000"/>
      <w:sz w:val="20"/>
      <w:szCs w:val="24"/>
    </w:rPr>
  </w:style>
  <w:style w:type="paragraph" w:styleId="Heading5">
    <w:name w:val="heading 5"/>
    <w:basedOn w:val="Normal"/>
    <w:next w:val="Normal"/>
    <w:qFormat/>
    <w:pPr>
      <w:spacing w:before="240" w:after="60"/>
      <w:outlineLvl w:val="4"/>
    </w:pPr>
    <w:rPr>
      <w:rFonts w:cs="B Nazanin" w:ascii="Times New Roman" w:hAnsi="Times New Roman"/>
      <w:color w:val="000000"/>
      <w:sz w:val="20"/>
      <w:szCs w:val="24"/>
    </w:rPr>
  </w:style>
  <w:style w:type="paragraph" w:styleId="Heading6">
    <w:name w:val="heading 6"/>
    <w:basedOn w:val="Normal"/>
    <w:next w:val="Normal"/>
    <w:qFormat/>
    <w:pPr>
      <w:spacing w:before="240" w:after="60"/>
      <w:outlineLvl w:val="5"/>
    </w:pPr>
    <w:rPr>
      <w:rFonts w:cs="B Nazanin" w:ascii="Times New Roman" w:hAnsi="Times New Roman"/>
      <w:i/>
      <w:iCs/>
      <w:color w:val="000000"/>
      <w:sz w:val="20"/>
      <w:szCs w:val="24"/>
    </w:rPr>
  </w:style>
  <w:style w:type="paragraph" w:styleId="Heading7">
    <w:name w:val="heading 7"/>
    <w:basedOn w:val="Normal"/>
    <w:next w:val="Normal"/>
    <w:qFormat/>
    <w:pPr>
      <w:spacing w:before="240" w:after="60"/>
      <w:outlineLvl w:val="6"/>
    </w:pPr>
    <w:rPr>
      <w:rFonts w:cs="B Nazanin" w:ascii="Times New Roman" w:hAnsi="Times New Roman"/>
      <w:color w:val="000000"/>
      <w:sz w:val="20"/>
      <w:szCs w:val="24"/>
    </w:rPr>
  </w:style>
  <w:style w:type="paragraph" w:styleId="Heading8">
    <w:name w:val="heading 8"/>
    <w:basedOn w:val="Normal"/>
    <w:next w:val="Normal"/>
    <w:qFormat/>
    <w:pPr>
      <w:spacing w:before="240" w:after="60"/>
      <w:outlineLvl w:val="7"/>
    </w:pPr>
    <w:rPr>
      <w:rFonts w:cs="B Nazanin" w:ascii="Times New Roman" w:hAnsi="Times New Roman"/>
      <w:i/>
      <w:iCs/>
      <w:color w:val="000000"/>
      <w:sz w:val="20"/>
      <w:szCs w:val="24"/>
    </w:rPr>
  </w:style>
  <w:style w:type="paragraph" w:styleId="Heading9">
    <w:name w:val="heading 9"/>
    <w:basedOn w:val="Normal"/>
    <w:next w:val="Normal"/>
    <w:qFormat/>
    <w:pPr>
      <w:spacing w:before="240" w:after="60"/>
      <w:outlineLvl w:val="8"/>
    </w:pPr>
    <w:rPr>
      <w:rFonts w:cs="B Nazanin" w:ascii="Times New Roman" w:hAnsi="Times New Roman"/>
      <w:color w:val="00000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rPr>
      <w:rFonts w:ascii="Times New Roman" w:hAnsi="Times New Roman" w:cs="B Nazanin"/>
      <w:color w:val="000000"/>
      <w:sz w:val="20"/>
      <w:szCs w:val="24"/>
    </w:rPr>
  </w:style>
  <w:style w:type="paragraph" w:styleId="FootnoteText">
    <w:name w:val="footnote text"/>
    <w:basedOn w:val="Normal"/>
    <w:pPr>
      <w:bidi w:val="0"/>
      <w:spacing w:line="252" w:lineRule="auto"/>
      <w:ind w:firstLine="202"/>
    </w:pPr>
    <w:rPr>
      <w:rFonts w:ascii="Times New Roman" w:hAnsi="Times New Roman" w:cs="B Nazanin"/>
      <w:color w:val="000000"/>
      <w:sz w:val="20"/>
      <w:szCs w:val="24"/>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jc w:val="left"/>
    </w:pPr>
    <w:rPr>
      <w:rFonts w:ascii="Times New Roman" w:hAnsi="Times New Roman" w:cs="B Nazanin"/>
      <w:color w:val="000000"/>
      <w:sz w:val="20"/>
      <w:szCs w:val="24"/>
    </w:rPr>
  </w:style>
  <w:style w:type="paragraph" w:styleId="Footer">
    <w:name w:val="footer"/>
    <w:basedOn w:val="Normal"/>
    <w:autoRedefine/>
    <w:rsid w:val="006C3627"/>
    <w:pPr>
      <w:tabs>
        <w:tab w:val="center" w:pos="4536"/>
        <w:tab w:val="right" w:pos="9072"/>
      </w:tabs>
      <w:jc w:val="center"/>
    </w:pPr>
    <w:rPr>
      <w:rFonts w:ascii="Times New Roman" w:hAnsi="Times New Roman" w:cs="B Nazanin"/>
      <w:color w:val="000000"/>
      <w:sz w:val="20"/>
      <w:szCs w:val="24"/>
    </w:rPr>
  </w:style>
  <w:style w:type="paragraph" w:styleId="Title">
    <w:name w:val="Title"/>
    <w:basedOn w:val="Normal"/>
    <w:link w:val="TitleChar"/>
    <w:autoRedefine/>
    <w:qFormat/>
    <w:rsid w:val="00D57EF7"/>
    <w:pPr>
      <w:spacing w:before="760" w:after="200"/>
      <w:jc w:val="center"/>
    </w:pPr>
    <w:rPr>
      <w:rFonts w:ascii="Times New Roman" w:hAnsi="Times New Roman" w:cs="B Nazanin"/>
      <w:b/>
      <w:bCs/>
      <w:color w:val="000000"/>
      <w:kern w:val="28"/>
      <w:sz w:val="20"/>
      <w:szCs w:val="30"/>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jc w:val="center"/>
    </w:pPr>
    <w:rPr>
      <w:rFonts w:ascii="Times New Roman" w:hAnsi="Times New Roman" w:cs="B Nazanin"/>
      <w:color w:val="000000"/>
      <w:sz w:val="20"/>
      <w:szCs w:val="24"/>
    </w:rPr>
  </w:style>
  <w:style w:type="character" w:styleId="Hyperlink">
    <w:name w:val="Hyperlink"/>
    <w:semiHidden/>
    <w:rPr>
      <w:color w:val="0000FF"/>
      <w:u w:val="single"/>
    </w:rPr>
  </w:style>
  <w:style w:type="paragraph" w:customStyle="1" w:styleId="Paragraph">
    <w:name w:val="Paragraph"/>
    <w:basedOn w:val="Normal"/>
    <w:autoRedefine/>
    <w:rsid w:val="00AF6820"/>
    <w:rPr>
      <w:rFonts w:ascii="Times New Roman" w:hAnsi="Times New Roman" w:cs="B Nazanin"/>
      <w:color w:val="000000"/>
      <w:sz w:val="20"/>
      <w:szCs w:val="24"/>
    </w:rPr>
  </w:style>
  <w:style w:type="paragraph" w:customStyle="1" w:styleId="References">
    <w:name w:val="References"/>
    <w:basedOn w:val="Normal"/>
    <w:rsid w:val="00414E9A"/>
    <w:pPr>
      <w:bidi w:val="0"/>
    </w:pPr>
    <w:rPr>
      <w:rFonts w:cs="B Nazanin" w:ascii="Times New Roman" w:hAnsi="Times New Roman"/>
      <w:color w:val="000000"/>
      <w:sz w:val="20"/>
      <w:szCs w:val="24"/>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textAlignment w:val="auto"/>
    </w:pPr>
    <w:rPr>
      <w:rFonts w:ascii="Times New Roman" w:hAnsi="Times New Roman" w:cs="B Nazanin"/>
      <w:bCs/>
      <w:i/>
      <w:color w:val="000000"/>
      <w:sz w:val="20"/>
      <w:szCs w:val="24"/>
    </w:rPr>
  </w:style>
  <w:style w:type="paragraph" w:customStyle="1" w:styleId="Equation">
    <w:name w:val="Equation"/>
    <w:basedOn w:val="Normal"/>
    <w:link w:val="EquationChar"/>
    <w:autoRedefine/>
    <w:rsid w:val="00B87093"/>
    <w:pPr>
      <w:tabs>
        <w:tab w:val="right" w:pos="4309"/>
        <w:tab w:val="right" w:pos="4649"/>
      </w:tabs>
      <w:spacing w:before="60" w:after="100" w:afterAutospacing="1"/>
    </w:pPr>
    <w:rPr>
      <w:rFonts w:ascii="Times New Roman" w:hAnsi="Times New Roman" w:cs="B Nazanin"/>
      <w:color w:val="000000"/>
      <w:sz w:val="20"/>
      <w:szCs w:val="24"/>
    </w:rPr>
  </w:style>
  <w:style w:type="paragraph" w:customStyle="1" w:styleId="FigurePosition">
    <w:name w:val="Figure Position"/>
    <w:basedOn w:val="Normal"/>
    <w:autoRedefine/>
    <w:rsid w:val="00111E9C"/>
    <w:pPr>
      <w:jc w:val="center"/>
    </w:pPr>
    <w:rPr>
      <w:rFonts w:ascii="Times New Roman" w:hAnsi="Times New Roman" w:cs="B Nazanin"/>
      <w:color w:val="000000"/>
      <w:sz w:val="20"/>
      <w:szCs w:val="24"/>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90"/>
      <w:jc w:val="left"/>
      <w:textAlignment w:val="auto"/>
    </w:pPr>
    <w:rPr>
      <w:rFonts w:ascii="Times New Roman" w:hAnsi="Times New Roman" w:cs="B Nazanin"/>
      <w:color w:val="000000"/>
      <w:sz w:val="20"/>
      <w:szCs w:val="22"/>
    </w:rPr>
  </w:style>
  <w:style w:type="paragraph" w:customStyle="1" w:styleId="Heading">
    <w:name w:val="Heading"/>
    <w:basedOn w:val="Normal"/>
    <w:autoRedefine/>
    <w:rsid w:val="008764A8"/>
    <w:pPr>
      <w:keepNext/>
      <w:overflowPunct/>
      <w:autoSpaceDE/>
      <w:autoSpaceDN/>
      <w:adjustRightInd/>
      <w:spacing w:before="140" w:after="60"/>
      <w:jc w:val="left"/>
      <w:textAlignment w:val="auto"/>
    </w:pPr>
    <w:rPr>
      <w:rFonts w:ascii="Times New Roman" w:hAnsi="Times New Roman" w:cs="B Nazanin"/>
      <w:b/>
      <w:bCs/>
      <w:color w:val="000000"/>
      <w:kern w:val="28"/>
      <w:sz w:val="20"/>
      <w:szCs w:val="24"/>
    </w:rPr>
  </w:style>
  <w:style w:type="paragraph" w:customStyle="1" w:styleId="TableTitle">
    <w:name w:val="Table Title"/>
    <w:basedOn w:val="Normal"/>
    <w:semiHidden/>
    <w:pPr>
      <w:jc w:val="center"/>
    </w:pPr>
    <w:rPr>
      <w:rFonts w:ascii="Times New Roman" w:hAnsi="Times New Roman" w:cs="B Nazanin"/>
      <w:smallCaps/>
      <w:color w:val="000000"/>
      <w:sz w:val="20"/>
      <w:szCs w:val="20"/>
    </w:rPr>
  </w:style>
  <w:style w:type="paragraph" w:customStyle="1" w:styleId="Affiliations">
    <w:name w:val="Affiliations"/>
    <w:basedOn w:val="Normal"/>
    <w:autoRedefine/>
    <w:rsid w:val="00AF6820"/>
    <w:pPr>
      <w:framePr w:wrap="around" w:vAnchor="text" w:hAnchor="text" w:xAlign="center" w:y="1"/>
      <w:jc w:val="center"/>
    </w:pPr>
    <w:rPr>
      <w:rFonts w:ascii="Times New Roman" w:hAnsi="Times New Roman" w:cs="B Nazanin"/>
      <w:color w:val="000000"/>
      <w:sz w:val="20"/>
      <w:szCs w:val="24"/>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120"/>
      <w:ind w:left="1440" w:right="1440"/>
    </w:pPr>
    <w:rPr>
      <w:rFonts w:ascii="Times New Roman" w:hAnsi="Times New Roman" w:cs="B Nazanin"/>
      <w:color w:val="000000"/>
      <w:sz w:val="20"/>
      <w:szCs w:val="24"/>
    </w:rPr>
  </w:style>
  <w:style w:type="paragraph" w:styleId="BodyText">
    <w:name w:val="Body Text"/>
    <w:basedOn w:val="Normal"/>
    <w:semiHidden/>
    <w:rsid w:val="00867C08"/>
    <w:pPr>
      <w:spacing w:after="120"/>
    </w:pPr>
    <w:rPr>
      <w:rFonts w:ascii="Times New Roman" w:hAnsi="Times New Roman" w:cs="B Nazanin"/>
      <w:color w:val="000000"/>
      <w:sz w:val="20"/>
      <w:szCs w:val="24"/>
    </w:rPr>
  </w:style>
  <w:style w:type="paragraph" w:styleId="BodyText2">
    <w:name w:val="Body Text 2"/>
    <w:basedOn w:val="Normal"/>
    <w:semiHidden/>
    <w:rsid w:val="00867C08"/>
    <w:pPr>
      <w:spacing w:after="120" w:line="480" w:lineRule="auto"/>
    </w:pPr>
    <w:rPr>
      <w:rFonts w:ascii="Times New Roman" w:hAnsi="Times New Roman" w:cs="B Nazanin"/>
      <w:color w:val="000000"/>
      <w:sz w:val="20"/>
      <w:szCs w:val="24"/>
    </w:rPr>
  </w:style>
  <w:style w:type="paragraph" w:styleId="BodyText3">
    <w:name w:val="Body Text 3"/>
    <w:basedOn w:val="Normal"/>
    <w:semiHidden/>
    <w:rsid w:val="00867C08"/>
    <w:pPr>
      <w:spacing w:after="120"/>
    </w:pPr>
    <w:rPr>
      <w:rFonts w:ascii="Times New Roman" w:hAnsi="Times New Roman" w:cs="B Nazanin"/>
      <w:color w:val="000000"/>
      <w:sz w:val="20"/>
      <w:szCs w:val="24"/>
    </w:rPr>
  </w:style>
  <w:style w:type="paragraph" w:styleId="BodyTextFirstIndent">
    <w:name w:val="Body Text First Indent"/>
    <w:basedOn w:val="BodyText"/>
    <w:semiHidden/>
    <w:rsid w:val="00867C08"/>
    <w:pPr>
      <w:ind w:firstLine="210"/>
    </w:pPr>
    <w:rPr>
      <w:rFonts w:ascii="Times New Roman" w:hAnsi="Times New Roman" w:cs="B Nazanin"/>
      <w:color w:val="000000"/>
      <w:sz w:val="20"/>
      <w:szCs w:val="24"/>
    </w:rPr>
  </w:style>
  <w:style w:type="paragraph" w:styleId="BodyTextIndent">
    <w:name w:val="Body Text Indent"/>
    <w:basedOn w:val="Normal"/>
    <w:semiHidden/>
    <w:rsid w:val="00867C08"/>
    <w:pPr>
      <w:spacing w:after="120"/>
      <w:ind w:left="283"/>
    </w:pPr>
    <w:rPr>
      <w:rFonts w:ascii="Times New Roman" w:hAnsi="Times New Roman" w:cs="B Nazanin"/>
      <w:color w:val="000000"/>
      <w:sz w:val="20"/>
      <w:szCs w:val="24"/>
    </w:rPr>
  </w:style>
  <w:style w:type="paragraph" w:styleId="BodyTextFirstIndent2">
    <w:name w:val="Body Text First Indent 2"/>
    <w:basedOn w:val="BodyTextIndent"/>
    <w:semiHidden/>
    <w:rsid w:val="00867C08"/>
    <w:pPr>
      <w:ind w:firstLine="210"/>
    </w:pPr>
    <w:rPr>
      <w:rFonts w:ascii="Times New Roman" w:hAnsi="Times New Roman" w:cs="B Nazanin"/>
      <w:color w:val="000000"/>
      <w:sz w:val="20"/>
      <w:szCs w:val="24"/>
    </w:rPr>
  </w:style>
  <w:style w:type="paragraph" w:styleId="BodyTextIndent2">
    <w:name w:val="Body Text Indent 2"/>
    <w:basedOn w:val="Normal"/>
    <w:semiHidden/>
    <w:rsid w:val="00867C08"/>
    <w:pPr>
      <w:spacing w:after="120" w:line="480" w:lineRule="auto"/>
      <w:ind w:left="283"/>
    </w:pPr>
    <w:rPr>
      <w:rFonts w:ascii="Times New Roman" w:hAnsi="Times New Roman" w:cs="B Nazanin"/>
      <w:color w:val="000000"/>
      <w:sz w:val="20"/>
      <w:szCs w:val="24"/>
    </w:rPr>
  </w:style>
  <w:style w:type="paragraph" w:styleId="BodyTextIndent3">
    <w:name w:val="Body Text Indent 3"/>
    <w:basedOn w:val="Normal"/>
    <w:semiHidden/>
    <w:rsid w:val="00867C08"/>
    <w:pPr>
      <w:spacing w:after="120"/>
      <w:ind w:left="283"/>
    </w:pPr>
    <w:rPr>
      <w:rFonts w:ascii="Times New Roman" w:hAnsi="Times New Roman" w:cs="B Nazanin"/>
      <w:color w:val="000000"/>
      <w:sz w:val="20"/>
      <w:szCs w:val="24"/>
    </w:rPr>
  </w:style>
  <w:style w:type="paragraph" w:styleId="Caption">
    <w:name w:val="caption"/>
    <w:next w:val="FigurePosition"/>
    <w:autoRedefine/>
    <w:qFormat/>
    <w:rsid w:val="008730CE"/>
    <w:pPr>
      <w:bidi/>
      <w:spacing w:after="240"/>
      <w:jc w:val="center"/>
    </w:pPr>
    <w:rPr>
      <w:rFonts w:cs="B Nazanin" w:ascii="Times New Roman" w:hAnsi="Times New Roman"/>
      <w:color w:val="000000"/>
      <w:sz w:val="20"/>
      <w:szCs w:val="20"/>
    </w:rPr>
  </w:style>
  <w:style w:type="paragraph" w:styleId="Closing">
    <w:name w:val="Closing"/>
    <w:basedOn w:val="Normal"/>
    <w:semiHidden/>
    <w:rsid w:val="00867C08"/>
    <w:pPr>
      <w:ind w:left="4252"/>
    </w:pPr>
    <w:rPr>
      <w:rFonts w:ascii="Times New Roman" w:hAnsi="Times New Roman" w:cs="B Nazanin"/>
      <w:color w:val="000000"/>
      <w:sz w:val="20"/>
      <w:szCs w:val="24"/>
    </w:rPr>
  </w:style>
  <w:style w:type="paragraph" w:styleId="Date">
    <w:name w:val="Date"/>
    <w:basedOn w:val="Normal"/>
    <w:next w:val="Normal"/>
    <w:semiHidden/>
    <w:rsid w:val="00867C08"/>
    <w:rPr>
      <w:rFonts w:ascii="Times New Roman" w:hAnsi="Times New Roman" w:cs="B Nazanin"/>
      <w:color w:val="000000"/>
      <w:sz w:val="20"/>
      <w:szCs w:val="24"/>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rPr>
      <w:rFonts w:ascii="Times New Roman" w:hAnsi="Times New Roman" w:cs="B Nazanin"/>
      <w:color w:val="000000"/>
      <w:sz w:val="20"/>
      <w:szCs w:val="24"/>
    </w:rPr>
  </w:style>
  <w:style w:type="paragraph" w:styleId="EnvelopeAddress">
    <w:name w:val="envelope address"/>
    <w:basedOn w:val="Normal"/>
    <w:semiHidden/>
    <w:rsid w:val="00867C08"/>
    <w:pPr>
      <w:framePr w:w="7920" w:h="1980" w:hRule="exact" w:hSpace="180" w:wrap="auto" w:hAnchor="page" w:xAlign="center" w:yAlign="bottom"/>
      <w:ind w:left="2880"/>
    </w:pPr>
    <w:rPr>
      <w:rFonts w:ascii="Times New Roman" w:hAnsi="Times New Roman" w:cs="B Nazanin"/>
      <w:color w:val="000000"/>
      <w:sz w:val="20"/>
      <w:szCs w:val="24"/>
    </w:rPr>
  </w:style>
  <w:style w:type="paragraph" w:styleId="EnvelopeReturn">
    <w:name w:val="envelope return"/>
    <w:basedOn w:val="Normal"/>
    <w:semiHidden/>
    <w:rsid w:val="00867C08"/>
    <w:rPr>
      <w:rFonts w:ascii="Times New Roman" w:hAnsi="Times New Roman" w:cs="B Nazanin"/>
      <w:color w:val="000000"/>
      <w:sz w:val="20"/>
      <w:szCs w:val="24"/>
    </w:rPr>
  </w:style>
  <w:style w:type="character" w:styleId="HTMLAcronym">
    <w:name w:val="HTML Acronym"/>
    <w:basedOn w:val="DefaultParagraphFont"/>
    <w:semiHidden/>
    <w:rsid w:val="00867C08"/>
  </w:style>
  <w:style w:type="paragraph" w:styleId="HTMLAddress">
    <w:name w:val="HTML Address"/>
    <w:basedOn w:val="Normal"/>
    <w:semiHidden/>
    <w:rsid w:val="00867C08"/>
    <w:rPr>
      <w:rFonts w:ascii="Times New Roman" w:hAnsi="Times New Roman" w:cs="B Nazanin"/>
      <w:i/>
      <w:iCs/>
      <w:color w:val="000000"/>
      <w:sz w:val="20"/>
      <w:szCs w:val="24"/>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rPr>
      <w:rFonts w:ascii="Times New Roman" w:hAnsi="Times New Roman" w:cs="B Nazanin"/>
      <w:color w:val="000000"/>
      <w:sz w:val="20"/>
      <w:szCs w:val="24"/>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ind w:left="283" w:hanging="283"/>
    </w:pPr>
    <w:rPr>
      <w:rFonts w:ascii="Times New Roman" w:hAnsi="Times New Roman" w:cs="B Nazanin"/>
      <w:color w:val="000000"/>
      <w:sz w:val="20"/>
      <w:szCs w:val="24"/>
    </w:rPr>
  </w:style>
  <w:style w:type="paragraph" w:styleId="List2">
    <w:name w:val="List 2"/>
    <w:basedOn w:val="Normal"/>
    <w:semiHidden/>
    <w:rsid w:val="00867C08"/>
    <w:pPr>
      <w:ind w:left="566" w:hanging="283"/>
    </w:pPr>
    <w:rPr>
      <w:rFonts w:ascii="Times New Roman" w:hAnsi="Times New Roman" w:cs="B Nazanin"/>
      <w:color w:val="000000"/>
      <w:sz w:val="20"/>
      <w:szCs w:val="24"/>
    </w:rPr>
  </w:style>
  <w:style w:type="paragraph" w:styleId="List3">
    <w:name w:val="List 3"/>
    <w:basedOn w:val="Normal"/>
    <w:semiHidden/>
    <w:rsid w:val="00867C08"/>
    <w:pPr>
      <w:ind w:left="849" w:hanging="283"/>
    </w:pPr>
    <w:rPr>
      <w:rFonts w:ascii="Times New Roman" w:hAnsi="Times New Roman" w:cs="B Nazanin"/>
      <w:color w:val="000000"/>
      <w:sz w:val="20"/>
      <w:szCs w:val="24"/>
    </w:rPr>
  </w:style>
  <w:style w:type="paragraph" w:styleId="List4">
    <w:name w:val="List 4"/>
    <w:basedOn w:val="Normal"/>
    <w:semiHidden/>
    <w:rsid w:val="00867C08"/>
    <w:pPr>
      <w:ind w:left="1132" w:hanging="283"/>
    </w:pPr>
    <w:rPr>
      <w:rFonts w:ascii="Times New Roman" w:hAnsi="Times New Roman" w:cs="B Nazanin"/>
      <w:color w:val="000000"/>
      <w:sz w:val="20"/>
      <w:szCs w:val="24"/>
    </w:rPr>
  </w:style>
  <w:style w:type="paragraph" w:styleId="List5">
    <w:name w:val="List 5"/>
    <w:basedOn w:val="Normal"/>
    <w:semiHidden/>
    <w:rsid w:val="00867C08"/>
    <w:pPr>
      <w:ind w:left="1415" w:hanging="283"/>
    </w:pPr>
    <w:rPr>
      <w:rFonts w:ascii="Times New Roman" w:hAnsi="Times New Roman" w:cs="B Nazanin"/>
      <w:color w:val="000000"/>
      <w:sz w:val="20"/>
      <w:szCs w:val="24"/>
    </w:rPr>
  </w:style>
  <w:style w:type="paragraph" w:styleId="ListBullet">
    <w:name w:val="List Bullet"/>
    <w:basedOn w:val="Normal"/>
    <w:semiHidden/>
    <w:rsid w:val="00867C08"/>
    <w:pPr>
      <w:numPr>
        <w:numId w:val="30"/>
      </w:numPr>
    </w:pPr>
    <w:rPr>
      <w:rFonts w:ascii="Times New Roman" w:hAnsi="Times New Roman" w:cs="B Nazanin"/>
      <w:color w:val="000000"/>
      <w:sz w:val="20"/>
      <w:szCs w:val="24"/>
    </w:rPr>
  </w:style>
  <w:style w:type="paragraph" w:styleId="ListBullet2">
    <w:name w:val="List Bullet 2"/>
    <w:basedOn w:val="Normal"/>
    <w:semiHidden/>
    <w:rsid w:val="00867C08"/>
    <w:pPr>
      <w:numPr>
        <w:numId w:val="31"/>
      </w:numPr>
    </w:pPr>
    <w:rPr>
      <w:rFonts w:ascii="Times New Roman" w:hAnsi="Times New Roman" w:cs="B Nazanin"/>
      <w:color w:val="000000"/>
      <w:sz w:val="20"/>
      <w:szCs w:val="24"/>
    </w:rPr>
  </w:style>
  <w:style w:type="paragraph" w:styleId="ListBullet3">
    <w:name w:val="List Bullet 3"/>
    <w:basedOn w:val="Normal"/>
    <w:semiHidden/>
    <w:rsid w:val="00867C08"/>
    <w:pPr>
      <w:numPr>
        <w:numId w:val="32"/>
      </w:numPr>
    </w:pPr>
    <w:rPr>
      <w:rFonts w:ascii="Times New Roman" w:hAnsi="Times New Roman" w:cs="B Nazanin"/>
      <w:color w:val="000000"/>
      <w:sz w:val="20"/>
      <w:szCs w:val="24"/>
    </w:rPr>
  </w:style>
  <w:style w:type="paragraph" w:styleId="ListBullet4">
    <w:name w:val="List Bullet 4"/>
    <w:basedOn w:val="Normal"/>
    <w:semiHidden/>
    <w:rsid w:val="00867C08"/>
    <w:pPr>
      <w:numPr>
        <w:numId w:val="33"/>
      </w:numPr>
    </w:pPr>
    <w:rPr>
      <w:rFonts w:ascii="Times New Roman" w:hAnsi="Times New Roman" w:cs="B Nazanin"/>
      <w:color w:val="000000"/>
      <w:sz w:val="20"/>
      <w:szCs w:val="24"/>
    </w:rPr>
  </w:style>
  <w:style w:type="paragraph" w:styleId="ListBullet5">
    <w:name w:val="List Bullet 5"/>
    <w:basedOn w:val="Normal"/>
    <w:semiHidden/>
    <w:rsid w:val="00867C08"/>
    <w:pPr>
      <w:numPr>
        <w:numId w:val="34"/>
      </w:numPr>
    </w:pPr>
    <w:rPr>
      <w:rFonts w:ascii="Times New Roman" w:hAnsi="Times New Roman" w:cs="B Nazanin"/>
      <w:color w:val="000000"/>
      <w:sz w:val="20"/>
      <w:szCs w:val="24"/>
    </w:rPr>
  </w:style>
  <w:style w:type="paragraph" w:styleId="ListContinue">
    <w:name w:val="List Continue"/>
    <w:basedOn w:val="Normal"/>
    <w:semiHidden/>
    <w:rsid w:val="00867C08"/>
    <w:pPr>
      <w:spacing w:after="120"/>
      <w:ind w:left="283"/>
    </w:pPr>
    <w:rPr>
      <w:rFonts w:ascii="Times New Roman" w:hAnsi="Times New Roman" w:cs="B Nazanin"/>
      <w:color w:val="000000"/>
      <w:sz w:val="20"/>
      <w:szCs w:val="24"/>
    </w:rPr>
  </w:style>
  <w:style w:type="paragraph" w:styleId="ListContinue2">
    <w:name w:val="List Continue 2"/>
    <w:basedOn w:val="Normal"/>
    <w:semiHidden/>
    <w:rsid w:val="00867C08"/>
    <w:pPr>
      <w:spacing w:after="120"/>
      <w:ind w:left="566"/>
    </w:pPr>
    <w:rPr>
      <w:rFonts w:ascii="Times New Roman" w:hAnsi="Times New Roman" w:cs="B Nazanin"/>
      <w:color w:val="000000"/>
      <w:sz w:val="20"/>
      <w:szCs w:val="24"/>
    </w:rPr>
  </w:style>
  <w:style w:type="paragraph" w:styleId="ListContinue3">
    <w:name w:val="List Continue 3"/>
    <w:basedOn w:val="Normal"/>
    <w:semiHidden/>
    <w:rsid w:val="00867C08"/>
    <w:pPr>
      <w:spacing w:after="120"/>
      <w:ind w:left="849"/>
    </w:pPr>
    <w:rPr>
      <w:rFonts w:ascii="Times New Roman" w:hAnsi="Times New Roman" w:cs="B Nazanin"/>
      <w:color w:val="000000"/>
      <w:sz w:val="20"/>
      <w:szCs w:val="24"/>
    </w:rPr>
  </w:style>
  <w:style w:type="paragraph" w:styleId="ListContinue4">
    <w:name w:val="List Continue 4"/>
    <w:basedOn w:val="Normal"/>
    <w:semiHidden/>
    <w:rsid w:val="00867C08"/>
    <w:pPr>
      <w:spacing w:after="120"/>
      <w:ind w:left="1132"/>
    </w:pPr>
    <w:rPr>
      <w:rFonts w:ascii="Times New Roman" w:hAnsi="Times New Roman" w:cs="B Nazanin"/>
      <w:color w:val="000000"/>
      <w:sz w:val="20"/>
      <w:szCs w:val="24"/>
    </w:rPr>
  </w:style>
  <w:style w:type="paragraph" w:styleId="ListContinue5">
    <w:name w:val="List Continue 5"/>
    <w:basedOn w:val="Normal"/>
    <w:semiHidden/>
    <w:rsid w:val="00867C08"/>
    <w:pPr>
      <w:spacing w:after="120"/>
      <w:ind w:left="1415"/>
    </w:pPr>
    <w:rPr>
      <w:rFonts w:ascii="Times New Roman" w:hAnsi="Times New Roman" w:cs="B Nazanin"/>
      <w:color w:val="000000"/>
      <w:sz w:val="20"/>
      <w:szCs w:val="24"/>
    </w:rPr>
  </w:style>
  <w:style w:type="paragraph" w:styleId="ListNumber">
    <w:name w:val="List Number"/>
    <w:basedOn w:val="Normal"/>
    <w:semiHidden/>
    <w:rsid w:val="00867C08"/>
    <w:pPr>
      <w:numPr>
        <w:numId w:val="35"/>
      </w:numPr>
    </w:pPr>
    <w:rPr>
      <w:rFonts w:ascii="Times New Roman" w:hAnsi="Times New Roman" w:cs="B Nazanin"/>
      <w:color w:val="000000"/>
      <w:sz w:val="20"/>
      <w:szCs w:val="24"/>
    </w:rPr>
  </w:style>
  <w:style w:type="paragraph" w:styleId="ListNumber2">
    <w:name w:val="List Number 2"/>
    <w:basedOn w:val="Normal"/>
    <w:semiHidden/>
    <w:rsid w:val="00867C08"/>
    <w:pPr>
      <w:numPr>
        <w:numId w:val="36"/>
      </w:numPr>
    </w:pPr>
    <w:rPr>
      <w:rFonts w:ascii="Times New Roman" w:hAnsi="Times New Roman" w:cs="B Nazanin"/>
      <w:color w:val="000000"/>
      <w:sz w:val="20"/>
      <w:szCs w:val="24"/>
    </w:rPr>
  </w:style>
  <w:style w:type="paragraph" w:styleId="ListNumber3">
    <w:name w:val="List Number 3"/>
    <w:basedOn w:val="Normal"/>
    <w:semiHidden/>
    <w:rsid w:val="00867C08"/>
    <w:pPr>
      <w:numPr>
        <w:numId w:val="37"/>
      </w:numPr>
    </w:pPr>
    <w:rPr>
      <w:rFonts w:ascii="Times New Roman" w:hAnsi="Times New Roman" w:cs="B Nazanin"/>
      <w:color w:val="000000"/>
      <w:sz w:val="20"/>
      <w:szCs w:val="24"/>
    </w:rPr>
  </w:style>
  <w:style w:type="paragraph" w:styleId="ListNumber4">
    <w:name w:val="List Number 4"/>
    <w:basedOn w:val="Normal"/>
    <w:semiHidden/>
    <w:rsid w:val="00867C08"/>
    <w:pPr>
      <w:numPr>
        <w:numId w:val="38"/>
      </w:numPr>
    </w:pPr>
    <w:rPr>
      <w:rFonts w:ascii="Times New Roman" w:hAnsi="Times New Roman" w:cs="B Nazanin"/>
      <w:color w:val="000000"/>
      <w:sz w:val="20"/>
      <w:szCs w:val="24"/>
    </w:rPr>
  </w:style>
  <w:style w:type="paragraph" w:styleId="ListNumber5">
    <w:name w:val="List Number 5"/>
    <w:basedOn w:val="Normal"/>
    <w:semiHidden/>
    <w:rsid w:val="00867C08"/>
    <w:pPr>
      <w:numPr>
        <w:numId w:val="39"/>
      </w:numPr>
    </w:pPr>
    <w:rPr>
      <w:rFonts w:ascii="Times New Roman" w:hAnsi="Times New Roman" w:cs="B Nazanin"/>
      <w:color w:val="000000"/>
      <w:sz w:val="20"/>
      <w:szCs w:val="24"/>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ind w:left="1134" w:hanging="1134"/>
    </w:pPr>
    <w:rPr>
      <w:rFonts w:ascii="Times New Roman" w:hAnsi="Times New Roman" w:cs="B Nazanin"/>
      <w:color w:val="000000"/>
      <w:sz w:val="20"/>
      <w:szCs w:val="24"/>
    </w:rPr>
  </w:style>
  <w:style w:type="paragraph" w:styleId="NormalWeb">
    <w:name w:val="Normal (Web)"/>
    <w:basedOn w:val="Normal"/>
    <w:uiPriority w:val="99"/>
    <w:semiHidden/>
    <w:rsid w:val="00867C08"/>
    <w:rPr>
      <w:rFonts w:cs="B Nazanin" w:ascii="Times New Roman" w:hAnsi="Times New Roman"/>
      <w:color w:val="000000"/>
      <w:sz w:val="20"/>
      <w:szCs w:val="24"/>
    </w:rPr>
  </w:style>
  <w:style w:type="paragraph" w:styleId="NormalIndent">
    <w:name w:val="Normal Indent"/>
    <w:basedOn w:val="Normal"/>
    <w:semiHidden/>
    <w:rsid w:val="00867C08"/>
    <w:pPr>
      <w:ind w:left="720"/>
    </w:pPr>
    <w:rPr>
      <w:rFonts w:ascii="Times New Roman" w:hAnsi="Times New Roman" w:cs="B Nazanin"/>
      <w:color w:val="000000"/>
      <w:sz w:val="20"/>
      <w:szCs w:val="24"/>
    </w:rPr>
  </w:style>
  <w:style w:type="paragraph" w:styleId="NoteHeading">
    <w:name w:val="Note Heading"/>
    <w:basedOn w:val="Normal"/>
    <w:next w:val="Normal"/>
    <w:semiHidden/>
    <w:rsid w:val="00867C08"/>
    <w:rPr>
      <w:rFonts w:ascii="Times New Roman" w:hAnsi="Times New Roman" w:cs="B Nazanin"/>
      <w:color w:val="000000"/>
      <w:sz w:val="20"/>
      <w:szCs w:val="24"/>
    </w:rPr>
  </w:style>
  <w:style w:type="paragraph" w:styleId="Salutation">
    <w:name w:val="Salutation"/>
    <w:basedOn w:val="Normal"/>
    <w:next w:val="Normal"/>
    <w:semiHidden/>
    <w:rsid w:val="00867C08"/>
    <w:rPr>
      <w:rFonts w:ascii="Times New Roman" w:hAnsi="Times New Roman" w:cs="B Nazanin"/>
      <w:color w:val="000000"/>
      <w:sz w:val="20"/>
      <w:szCs w:val="24"/>
    </w:rPr>
  </w:style>
  <w:style w:type="paragraph" w:styleId="Signature">
    <w:name w:val="Signature"/>
    <w:basedOn w:val="Normal"/>
    <w:semiHidden/>
    <w:rsid w:val="00867C08"/>
    <w:pPr>
      <w:ind w:left="4252"/>
    </w:pPr>
    <w:rPr>
      <w:rFonts w:ascii="Times New Roman" w:hAnsi="Times New Roman" w:cs="B Nazanin"/>
      <w:color w:val="000000"/>
      <w:sz w:val="20"/>
      <w:szCs w:val="24"/>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jc w:val="center"/>
      <w:outlineLvl w:val="1"/>
    </w:pPr>
    <w:rPr>
      <w:rFonts w:ascii="Times New Roman" w:hAnsi="Times New Roman" w:cs="B Nazanin"/>
      <w:color w:val="000000"/>
      <w:sz w:val="20"/>
      <w:szCs w:val="24"/>
    </w:rPr>
  </w:style>
  <w:style w:type="paragraph" w:customStyle="1" w:styleId="CaptionC">
    <w:name w:val="Caption(C)"/>
    <w:basedOn w:val="Caption"/>
    <w:autoRedefine/>
    <w:rsid w:val="00A43E52"/>
    <w:rPr>
      <w:rFonts w:ascii="Times New Roman" w:hAnsi="Times New Roman" w:cs="B Nazanin"/>
      <w:color w:val="000000"/>
      <w:sz w:val="20"/>
      <w:szCs w:val="24"/>
    </w:rPr>
  </w:style>
  <w:style w:type="paragraph" w:customStyle="1" w:styleId="CaptionFramed">
    <w:name w:val="Caption(Framed)"/>
    <w:basedOn w:val="CaptionC"/>
    <w:autoRedefine/>
    <w:rsid w:val="004040DD"/>
    <w:pPr>
      <w:framePr w:wrap="around" w:vAnchor="text" w:hAnchor="margin" w:xAlign="center" w:y="1"/>
    </w:pPr>
    <w:rPr>
      <w:rFonts w:ascii="Times New Roman" w:hAnsi="Times New Roman" w:cs="B Nazanin"/>
      <w:color w:val="000000"/>
      <w:sz w:val="20"/>
      <w:lang w:bidi="fa-IR"/>
      <w:szCs w:val="24"/>
    </w:rPr>
  </w:style>
  <w:style w:type="paragraph" w:customStyle="1" w:styleId="ReferencesFarsi">
    <w:name w:val="ReferencesFarsi"/>
    <w:basedOn w:val="References"/>
    <w:rsid w:val="00F5690B"/>
    <w:rPr>
      <w:rFonts w:ascii="Times New Roman" w:hAnsi="Times New Roman" w:cs="B Nazanin"/>
      <w:color w:val="000000"/>
      <w:sz w:val="20"/>
      <w:szCs w:val="24"/>
    </w:rPr>
  </w:style>
  <w:style w:type="paragraph" w:customStyle="1" w:styleId="FramedFigure">
    <w:name w:val="Framed Figure"/>
    <w:basedOn w:val="FigurePosition"/>
    <w:autoRedefine/>
    <w:rsid w:val="008764A8"/>
    <w:pPr>
      <w:framePr w:w="7052" w:wrap="around" w:hAnchor="page" w:x="2422" w:yAlign="top"/>
    </w:pPr>
    <w:rPr>
      <w:rFonts w:ascii="Times New Roman" w:hAnsi="Times New Roman" w:cs="B Nazanin"/>
      <w:color w:val="000000"/>
      <w:sz w:val="20"/>
      <w:szCs w:val="24"/>
    </w:rPr>
  </w:style>
  <w:style w:type="paragraph" w:customStyle="1" w:styleId="ReferencesFarsi0">
    <w:name w:val="References(Farsi)"/>
    <w:basedOn w:val="ReferencesFarsi"/>
    <w:rsid w:val="0037408A"/>
    <w:pPr>
      <w:bidi/>
    </w:pPr>
    <w:rPr>
      <w:rFonts w:ascii="Times New Roman" w:hAnsi="Times New Roman" w:cs="B Nazanin"/>
      <w:color w:val="000000"/>
      <w:sz w:val="20"/>
      <w:szCs w:val="24"/>
    </w:rPr>
  </w:style>
  <w:style w:type="paragraph" w:customStyle="1" w:styleId="AbstractEnglish">
    <w:name w:val="Abstract(English)"/>
    <w:basedOn w:val="Abstract"/>
    <w:autoRedefine/>
    <w:rsid w:val="009D543E"/>
    <w:rPr>
      <w:rFonts w:ascii="Times New Roman" w:hAnsi="Times New Roman" w:cs="B Nazanin"/>
      <w:color w:val="000000"/>
      <w:sz w:val="20"/>
      <w:szCs w:val="24"/>
    </w:rPr>
  </w:style>
  <w:style w:type="paragraph" w:customStyle="1" w:styleId="TitleEnglish">
    <w:name w:val="Title(English)"/>
    <w:basedOn w:val="Title"/>
    <w:autoRedefine/>
    <w:rsid w:val="0023447C"/>
    <w:pPr>
      <w:bidi w:val="0"/>
    </w:pPr>
    <w:rPr>
      <w:rFonts w:ascii="Times New Roman" w:hAnsi="Times New Roman" w:cs="B Nazanin"/>
      <w:color w:val="000000"/>
      <w:sz w:val="20"/>
      <w:szCs w:val="24"/>
    </w:rPr>
  </w:style>
  <w:style w:type="paragraph" w:customStyle="1" w:styleId="AuthorsEnglish">
    <w:name w:val="Authors( English)"/>
    <w:basedOn w:val="Authors"/>
    <w:next w:val="AbstractEnglish"/>
    <w:autoRedefine/>
    <w:rsid w:val="0023447C"/>
    <w:pPr>
      <w:framePr w:wrap="auto" w:vAnchor="margin" w:xAlign="left" w:yAlign="inline"/>
      <w:bidi w:val="0"/>
    </w:pPr>
    <w:rPr>
      <w:rFonts w:ascii="Times New Roman" w:hAnsi="Times New Roman" w:cs="B Nazanin"/>
      <w:color w:val="000000"/>
      <w:sz w:val="20"/>
      <w:szCs w:val="24"/>
    </w:rPr>
  </w:style>
  <w:style w:type="paragraph" w:customStyle="1" w:styleId="AffiliationsEnglish">
    <w:name w:val="Affiliations(English)"/>
    <w:basedOn w:val="Affiliations"/>
    <w:autoRedefine/>
    <w:rsid w:val="0023447C"/>
    <w:pPr>
      <w:framePr w:wrap="auto" w:vAnchor="margin" w:xAlign="left" w:yAlign="inline"/>
      <w:bidi w:val="0"/>
    </w:pPr>
    <w:rPr>
      <w:rFonts w:ascii="Times New Roman" w:hAnsi="Times New Roman" w:cs="B Nazanin"/>
      <w:color w:val="000000"/>
      <w:sz w:val="20"/>
      <w:szCs w:val="24"/>
    </w:rPr>
  </w:style>
  <w:style w:type="paragraph" w:customStyle="1" w:styleId="AuthorsEnglisht">
    <w:name w:val="Authors( English)t"/>
    <w:basedOn w:val="AuthorsEnglish"/>
    <w:rsid w:val="0023447C"/>
    <w:rPr>
      <w:rFonts w:ascii="Times New Roman" w:hAnsi="Times New Roman" w:cs="B Nazanin"/>
      <w:color w:val="000000"/>
      <w:sz w:val="20"/>
      <w:szCs w:val="24"/>
    </w:rPr>
  </w:style>
  <w:style w:type="paragraph" w:styleId="BalloonText">
    <w:name w:val="Balloon Text"/>
    <w:basedOn w:val="Normal"/>
    <w:link w:val="BalloonTextChar"/>
    <w:rsid w:val="00D14067"/>
    <w:rPr>
      <w:rFonts w:ascii="Times New Roman" w:hAnsi="Times New Roman" w:cs="B Nazanin"/>
      <w:color w:val="000000"/>
      <w:sz w:val="20"/>
      <w:szCs w:val="24"/>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pPr>
    <w:rPr>
      <w:rFonts w:ascii="Times New Roman" w:hAnsi="Times New Roman" w:cs="B Nazanin"/>
      <w:color w:val="000000"/>
      <w:sz w:val="20"/>
      <w:szCs w:val="22"/>
    </w:rPr>
  </w:style>
  <w:style w:type="paragraph" w:customStyle="1" w:styleId="abstract0">
    <w:name w:val="abstract"/>
    <w:basedOn w:val="Abstract"/>
    <w:link w:val="abstractChar0"/>
    <w:autoRedefine/>
    <w:qFormat/>
    <w:rsid w:val="00D66C6A"/>
    <w:pPr>
      <w:spacing w:line="240" w:lineRule="auto" w:after="80"/>
    </w:pPr>
    <w:rPr>
      <w:rFonts w:ascii="Times New Roman" w:hAnsi="Times New Roman" w:cs="B Nazanin"/>
      <w:color w:val="000000"/>
      <w:sz w:val="20"/>
      <w:szCs w:val="22"/>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ind w:firstLine="0"/>
      <w:jc w:val="center"/>
    </w:pPr>
    <w:rPr>
      <w:rFonts w:ascii="Times New Roman" w:hAnsi="Times New Roman" w:cs="B Nazanin"/>
      <w:color w:val="000000"/>
      <w:sz w:val="20"/>
      <w:szCs w:val="24"/>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rPr>
      <w:rFonts w:ascii="Times New Roman" w:hAnsi="Times New Roman" w:cs="B Nazanin"/>
      <w:color w:val="000000"/>
      <w:sz w:val="20"/>
      <w:szCs w:val="24"/>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rPr>
      <w:rFonts w:ascii="Times New Roman" w:hAnsi="Times New Roman" w:cs="B Nazanin"/>
      <w:b/>
      <w:bCs/>
      <w:color w:val="000000"/>
      <w:sz w:val="20"/>
      <w:szCs w:val="24"/>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8" Type="http://schemas.openxmlformats.org/officeDocument/2006/relationships/image" Target="media/image4.png"/><Relationship Id="rId19" Type="http://schemas.openxmlformats.org/officeDocument/2006/relationships/image" Target="media/image5.png"/><Relationship Id="rId13" Type="http://schemas.openxmlformats.org/officeDocument/2006/relationships/image" Target="media/image2.tiff"/><Relationship Id="rId14" Type="http://schemas.openxmlformats.org/officeDocument/2006/relationships/image" Target="media/image3.tiff"/></Relationships>
</file>

<file path=word/_rels/fontTable.xml.rels><?xml version='1.0' encoding='UTF-8' standalone='yes'?>
<Relationships xmlns="http://schemas.openxmlformats.org/package/2006/relationships"><Relationship Id="rFontNazanin" Type="http://schemas.openxmlformats.org/officeDocument/2006/relationships/font" Target="fonts/BNazanin.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حسابرسی شواهد مدل‌های in silico در مهندسی پزشکی با نردبان اعتبار کودون‌تریس جنسیس</dc:title>
  <dc:subject>حسابرسی شواهد مدل‌های محاسباتی در مهندسی پزشکی</dc:subject>
  <dc:creator>پرواز جمیعی / Parvaz Jamei</dc:creator>
  <cp:keywords>CodonTrace Genesis; evidence auditing; BAIC2026</cp:keywords>
  <dc:description>BAIC 2026 camera-ready. CodonTrace Genesis claim-audit infrastructure with biomedical DomainProfile.</dc:description>
  <cp:lastModifiedBy>Parvaz Jamei</cp:lastModifiedBy>
  <cp:revision>2</cp:revision>
  <cp:lastPrinted>2017-10-31T12:21:00Z</cp:lastPrinted>
  <dcterms:created xsi:type="dcterms:W3CDTF">2023-11-09T12:25:00Z</dcterms:created>
  <dcterms:modified xsi:type="dcterms:W3CDTF">2026-09-22T14:00:30Z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