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18"/>
          <w:rtl w:val="1"/>
          <w:lang w:val="en-US" w:bidi="fa-IR" w:eastAsia="fa-IR"/>
          <w:vertAlign w:val="superscript"/>
        </w:rPr>
        <w:t xml:space="preserve">۱</w:t>
      </w:r>
      <w:r>
        <w:rPr>
          <w:rFonts w:ascii="Times New Roman" w:hAnsi="Times New Roman" w:cs="B Nazanin" w:eastAsia="B Nazanin"/>
          <w:sz w:val="18"/>
          <w:rtl w:val="1"/>
          <w:lang w:val="en-US" w:bidi="fa-IR" w:eastAsia="fa-IR"/>
        </w:rPr>
        <w:t>پژوهشگر مستقل، مشهد، ایران، parvaz.jamie@gmail.com</w:t>
      </w:r>
    </w:p>
    <w:p>
      <w:pPr>
        <w:pStyle w:val="Affiliations"/>
        <w:jc w:val="center"/>
        <w:bidi w:val="1"/>
      </w:pPr>
      <w:r>
        <w:rPr>
          <w:rFonts w:ascii="Times New Roman" w:hAnsi="Times New Roman" w:cs="B Nazanin" w:eastAsia="B Nazanin"/>
          <w:sz w:val="18"/>
          <w:rtl w:val="1"/>
          <w:lang w:val="en-US" w:bidi="fa-IR" w:eastAsia="fa-IR"/>
        </w:rPr>
        <w:t>ORCID: https://orcid.org/0009-0002-9980-270X</w:t>
      </w:r>
    </w:p>
    <w:p>
      <w:pPr>
        <w:pStyle w:val="Abstract"/>
        <w:jc w:val="both"/>
        <w:bidi w:val="1"/>
      </w:pPr>
      <w:r>
        <w:rPr>
          <w:rFonts w:ascii="Times New Roman" w:hAnsi="Times New Roman" w:cs="B Nazanin" w:eastAsia="B Nazanin"/>
          <w:sz w:val="18"/>
          <w:rtl w:val="1"/>
          <w:lang w:val="en-US" w:bidi="fa-IR" w:eastAsia="fa-IR"/>
        </w:rPr>
        <w:t>چکیده - این ابزار بعد از اجرا مشخص می‌کند ادعا تا چه سطحی، از صفر تا پنج، با شواهد همان بسته پشتیبانی می‌شود. کودون‌تریس جنسیس اجرا را قطعی می‌کند، مداخله روی یال را ثبت می‌کند و ادعا را روی نردبان اعتبار حسابرسی می‌کند. نردبان شش پله است و پلهٔ بالاتر شاهد بیشتری می‌خواهد. موتور، هستهٔ اجراست و حوزه را نمی‌شناسد. پورت درگاهی است که پرونده را به بستهٔ شواهد تبدیل می‌کند؛ بستهٔ شواهد یعنی نتیجه، مداخله و بازپخش. درگاه پزشکی واژگان ASME V&amp;V 40، راهنمای FDA ۲۰۲۳، IEC 62304 و IMDRF را روی همین نردبان می‌گذارد و برچسب را به‌جای تأیید تجهیز نمی‌نشاند. ارزیابی یک جفت کنترل است. HE01، کمپین اجراشده و بازپخش‌پذیر با سی بذر جفتی، اختلاف انرژی ۱۶٫۴۹ واحد و بازهٔ ۱۴٫۲۵ تا ۱۹٫۱۴ داد و حسابرس سطح ۴ برگرداند. کنترل منفی، جدول مدل تجهیز با برچسب IEC و FDA، در سطح صفر ماند. برچسب این فاصله را پر نمی‌کند.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این ابزار بعد از اجرای یک مدل محاسباتی مشخص می‌کند نتایج تا چه سطحی، از صفر تا پنج، با شواهد بسته پشتیبانی می‌شوند. این سطح‌ها نردبان اعتبارند: پلهٔ بالاتر شاهد بیشتری می‌خواهد و تأیید تجهیز نیست. در پروندهٔ مدل محاسباتی برای تجهیز پزشکی، سؤال اصلی این نیست که مدل چند درصد درست گفته است. سؤال این است که با شواهد موجود تا کجا می‌شود ادعا کرد. راهنمای نوامبر ۲۰۲۳ سازمان غذا و داروی آمریکا اعتبار مدل‌سازی و شبیه‌سازی فیزیک‌محور را به ریسک تصمیم وصل می‌کند و مدل یادگیری ماشین مستقل را بیرون از دامنه می‌گذارد [1]. استاندارد ASME V&amp;V 40 همین نکته را با پرسش مورد علاقه، زمینهٔ کاربرد و پیامد تصمیم می‌نویسد [2]. NASA-STD-7009B جدا می‌خواهد که هم خود مدل قابل اتکا باشد و هم انتقال نتیجه به شرایط تازه مجاز باشد [3]. پیوست چهارم قانون هوش مصنوعی اتحادیهٔ اروپا نیز برای سامانه‌های مشمول، مستندسازی اعتبارسنجی را لازم کرده است [4]. این سندها زبان مشترکی دارند، اما هیچ‌کدام به‌تنهایی درجهٔ ادعای بسته‌شده به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تحلیل ریسک، و زنجیرهٔ راستی‌آزمایی، اعتبارسنجی و کمی‌سازی عدم‌قطعیت گذاشته‌اند [5]. Pathmanathan و همکاران همان زنجیره را تا اعتبار زیرمدل‌ها در آزمون بالینی in silico برده‌اند [17]. گزارش سمپوزیوم FDA/MDIC در سال ۲۰۲۴ هم اعتبار مدل را در طول عمر تجهیز، از جمله دوقلوی دیجیتال، جمع کرده است [18]. آنچه کم است ابزاری است که بعد از انتشار هم بگوید این مصنوع کدام سطح ادعا را پشتیبانی می‌کند. در بررسی ۸۵ مقالهٔ متکی به مدل زبانی در ICSE و ASE سال ۲۰۲۴، از پنج مصنوع اجرایی هیچ‌کدام کامل بازتولید نشد [6]. تکرار اجرا هم به‌خودی‌خود سقف ادعا را نگه نمی‌دارد. این مقاله برای همان کار نوشته شده است.</w:t>
      </w:r>
    </w:p>
    <w:p>
      <w:pPr>
        <w:jc w:val="both"/>
        <w:bidi w:val="1"/>
      </w:pPr>
      <w:r>
        <w:rPr>
          <w:rFonts w:ascii="Times New Roman" w:hAnsi="Times New Roman" w:cs="B Nazanin" w:eastAsia="B Nazanin"/>
          <w:sz w:val="20"/>
          <w:rtl w:val="1"/>
          <w:lang w:val="en-US" w:bidi="fa-IR" w:eastAsia="fa-IR"/>
        </w:rPr>
        <w:t>موتور مدل را گام‌به‌گام پیش می‌برد و برای پزشکی از نو نوشته نشده است. یال یک گام از مسیر علت است. ارزیابی یک جفت کنترل است. HE01 کنترل مثبت و اجراشده است و تا سطح ۴ بالا می‌رود. جدول مدل تجهیز کنترل منفی است، شاهد اجرایی ندارد و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سابقهٔ طولانی دارد، ولی اغلب در حد راهنما و گزارش نمونه مانده است. ASME VVUQ 40.1-2026 یک نمونهٔ کامل از همین چارچوب است و بدترین اندازهٔ سینی تیبیال را برای آزمون خستگی ISO 14879-1 مشخص می‌کند [7]. IEC 62304 ردهٔ ایمنی نرم‌افزار پزشکی را A، B یا C می‌گذارد و حجم کار چرخهٔ حیات را به همان رده وصل می‌کند [8]. اسناد IMDRF زبان SiMD و SaMD و نیز مشخصه‌سازی ریسک نرم‌افزار دستگاه را تثبیت کرده‌اند [9]، [10]. در این مقاله همان واژه‌ها روی بستهٔ شواهد اجرا می‌شوند. بستهٔ شواهد مجموعه‌ای است که حسابرس می‌بیند: نتیجه، مداخله و بازپخش، نه نام استاندارد.</w:t>
      </w:r>
    </w:p>
    <w:p>
      <w:pPr>
        <w:jc w:val="both"/>
        <w:bidi w:val="1"/>
      </w:pPr>
      <w:r>
        <w:rPr>
          <w:rFonts w:ascii="Times New Roman" w:hAnsi="Times New Roman" w:cs="B Nazanin" w:eastAsia="B Nazanin"/>
          <w:sz w:val="20"/>
          <w:rtl w:val="1"/>
          <w:lang w:val="en-US" w:bidi="fa-IR" w:eastAsia="fa-IR"/>
        </w:rPr>
        <w:t>آویدا بستر شناخته‌شده‌ای برای برنامه‌های خودتکثیرشونده است [11] و پروندهٔ .dat آن از همین در خوانده می‌شود. در ادبیات quality-diversity، پایداری عملکرد در محیط نامطمئن [12] با بازپخش بیت‌به‌بیت یک اجرای نرم‌افزار یکی نیست. توصیف مدل بر اساس پروتکل ODD نوشته شده است [13]. رشتهٔ asme_vv40_passed در پیکربندی پذیرفته نمی‌شود. MIRROR بستهٔ شواهد محلی و نتیجهٔ بازپخش را پیش از انتشار قابل‌بازبینی می‌کند و حقیقت یا تضمین تنظیم‌گری نمی‌دهد [19]. NovaFabric اجرای عامل را در کپسول امضاشده ثبت می‌کند و سقف ادعا نمی‌گذارد [20]. تفاوت این کار درجه است: حسابرس بالاترین سطحی را برمی‌گرداند که شرط‌های همان بسته برقرار باشد.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هر تنظیم تازه با پیش‌فرض خاموش وارد می‌شود تا آزمایش‌های قبلی به‌هم نریزد. مسیر از ژنوم به کنش، پیامد، کپسول دارای منشأ، پذیرش و در نهایت بقا می‌رسد. برای هر یال، شناسه و اثرانگشت قبل و بعد ذخیره می‌شود تا عبور یک پیام با عوض شدن رفتار اشتباه گرفته نشود. شمارهٔ نسخه از پروندهٔ پیکربندی پروژه خوانده می‌شود و داخل بستهٔ شواهد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مربوط به پزشکی است یا زندگی مصنوعی یا سخت‌افزار. این برچسب از بیرون می‌آید. آداپتور بستهٔ شواهد را می‌سازد و DomainProfile فقط نام حوزه را با خود دارد. حوزهٔ تازه یعنی پروفایل تازه، نه موتور دوم. شکل ۱ همین جدایی را نشان می‌دهد. موتور گام زمان، اثرانگشت و بازپخش را انجام می‌دهد و حسابرس فقط بسته را می‌بیند [14]. پروفایل hardware و پورت ESP32 هم از همین درگاه می‌آیند و موتور دوم نمی‌سازند.</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rPr>
          <w:cantSplit/>
        </w:trP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خواندن مصنوع</w:t>
            </w:r>
            <w:r>
              <w:rPr>
                <w:rFonts w:ascii="Times New Roman" w:hAnsi="Times New Roman" w:cs="B Nazanin" w:eastAsia="B Nazanin"/>
                <w:b w:val="0"/>
                <w:sz w:val="15"/>
                <w:rtl w:val="1"/>
                <w:lang w:val="en-US" w:bidi="fa-IR" w:eastAsia="fa-IR"/>
              </w:rPr>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he02/he03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حسابرسی پنج مرحله دارد. آداپتور پرونده یا جدول را به یک بستهٔ واحد برمی‌گرداند. نقش بازوها به پنج نقش کلی نگاشت می‌شود: درمان، حذف سازوکار، خاموش کردن کانال، کنترل منفی، و دوز. اثرانگشت پیکربندی و، اگر موجود باشد، اثرانگشت پیش‌ثبت‌نامه بررسی می‌شود. سپس بازپخش، مقایسهٔ جفتی، بازهٔ اطمینان و تعداد بذر خوانده می‌شود. بالاترین سطحی برمی‌گردد که همهٔ شرط‌هایش برقرار باشد.</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از موتور جداست و شش سطح دارد. سطح ۳ به مداخله یا حذف یال، کنترل منفی و بازپخش نیاز دارد. سطح ۴ بازهٔ اطمینان و حداقل شانزده بذر را هم می‌خواهد. سطح ۵ علاوه بر اینها آرشیو، محدودیت نوشته‌شده، و شواهد آماری و مداخله‌ای را با هم لازم دارد. این آستانه‌ها مربوط به همین پیاده‌سازی است. برابر بودن خروجی دو بازو، به‌خودی‌خود، نتیجه را باطل نمی‌کند. آزمون وقتی بی‌اعتبار شمرده می‌شود که خود مداخله هم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HE01 فایل JSON را می‌خواند و نقش محلی را به نقش کلی برمی‌گرداند. بایت خود پرونده عوض نمی‌شود. پروندهٔ Avida و خروجی CSV مربوط به MABE2 هم از همین مسیر وارد می‌شوند. آداپتور زیست‌پزشکی جدول امتیاز را با زمینهٔ کاربرد و ریسک مدل پر می‌کند. اتصال سخت‌افزاری </w:t>
      </w:r>
      <w:r>
        <w:rPr>
          <w:rFonts w:ascii="Times New Roman" w:hAnsi="Times New Roman" w:cs="B Nazanin" w:eastAsia="B Nazanin"/>
          <w:sz w:val="20"/>
          <w:rtl w:val="1"/>
          <w:lang w:val="en-US" w:bidi="fa-IR" w:eastAsia="fa-IR"/>
          <w:b/>
          <w:bCs/>
        </w:rPr>
        <w:t xml:space="preserve">اختیاری</w:t>
      </w:r>
      <w:r>
        <w:rPr>
          <w:rFonts w:ascii="Times New Roman" w:hAnsi="Times New Roman" w:cs="B Nazanin" w:eastAsia="B Nazanin"/>
          <w:sz w:val="20"/>
          <w:rtl w:val="1"/>
          <w:lang w:val="en-US" w:bidi="fa-IR" w:eastAsia="fa-IR"/>
        </w:rPr>
        <w:t xml:space="preserve"> است. برای فایل متنی، اثرانگشت بعد از یکسان‌سازی انتهای سطر ساخته می‌شود و هش فایل دودویی با Path.read_bytes() حساب می‌شود. آزمون پیش‌فرض، جایگشت علامت جفتی با تصحیح Holm و بازهٔ BCa است. بوت‌استرپ studentized و شمارش دقیق علامت برای n≤۴۰ اختیاری‌اند تا اعداد کمپین منتشرشده جابه‌جا نشود.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پزشکی از DomainProfile می‌آید. نام‌های موجود alife، biomedical و hardware هستند [15]. simd_declared و samd_declared عبارت IMDRF را روی بسته یادداشت می‌کنند و خود محصول را رده‌بندی نمی‌کنند. اگر مدل فیزیک‌محور اعلام نشده باشد، نسبت به راهنمای سال ۲۰۲۳ خارج از دامنه می‌ماند، حتی وقتی خانه‌های شواهد پر شده باشند. رشته‌هایی مانند asme_vv40_passed، fda_cleared، clinical_validated و iec_62304_certified در پیکربندی قبول نمی‌شوند. از یک جدول اعلامی مهر تأیید بیرون نمی‌آید.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2300"/>
        <w:gridCol w:w="4700"/>
        <w:gridCol w:w="3092"/>
      </w:tblGrid>
      <w:tr>
        <w:trPr>
          <w:cantSplit/>
        </w:trPr>
        <w:tc>
          <w:tcPr>
            <w:tcW w:type="dxa" w:w="23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47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092"/>
            <w:shd w:fill="1A365D" w:val="clear"/>
            <w:tcBorders>
              <w:top w:val="single" w:sz="4" w:color="4A4A4A"/>
              <w:left w:val="single" w:sz="4" w:color="4A4A4A"/>
              <w:bottom w:val="single" w:sz="4" w:color="4A4A4A"/>
              <w:right w:val="single" w:sz="4" w:color="4A4A4A"/>
            </w:tcBorders>
            <w:vAlign w:val="center"/>
          </w:tcPr>
          <w:p>
            <w:pPr>
              <w:jc w:val="center"/>
              <w:bidi w:val="1"/>
            </w:pPr>
            <w:r>
              <w:t>رفتار پورت</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ثبت پرسش</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ثبت زمینهٔ کاربرد</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تصمیم</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مدل</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شواهد</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ردهٔ نرم‌افزار</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N12</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device_software_kind</w:t>
            </w:r>
            <w:r>
              <w:rPr>
                <w:rFonts w:ascii="Times New Roman" w:hAnsi="Times New Roman" w:cs="B Nazanin" w:eastAsia="B Nazanin"/>
                <w:b w:val="0"/>
                <w:sz w:val="15"/>
                <w:rtl w:val="1"/>
                <w:lang w:val="en-US" w:bidi="fa-IR" w:eastAsia="fa-IR"/>
              </w:rPr>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SiMD/SaMD</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درجهٔ ادعا روی نردبان</w:t>
            </w:r>
          </w:p>
        </w:tc>
      </w:tr>
    </w:tbl>
    <w:p>
      <w:pPr>
        <w:jc w:val="both"/>
        <w:bidi w:val="1"/>
      </w:pPr>
      <w:r>
        <w:rPr>
          <w:rFonts w:ascii="Times New Roman" w:hAnsi="Times New Roman" w:cs="B Nazanin" w:eastAsia="B Nazanin"/>
          <w:sz w:val="20"/>
          <w:rtl w:val="1"/>
          <w:lang w:val="en-US" w:bidi="fa-IR" w:eastAsia="fa-IR"/>
        </w:rPr>
        <w:t>جدول ۳ کنترل منفی همین طرح است. برچسب تنظیم‌گری در بسته هست و اجرای ثبت‌شده نیست. حسابرس سطح صفر می‌دهد.</w:t>
      </w:r>
    </w:p>
    <w:p>
      <w:pPr>
        <w:pStyle w:val="TableTitle"/>
        <w:jc w:val="center"/>
        <w:bidi w:val="1"/>
      </w:pPr>
      <w:r>
        <w:rPr>
          <w:rFonts w:ascii="Times New Roman" w:hAnsi="Times New Roman" w:cs="B Nazanin" w:eastAsia="B Nazanin"/>
          <w:b/>
          <w:i/>
          <w:sz w:val="16"/>
          <w:rtl w:val="1"/>
          <w:lang w:val="en-US" w:bidi="fa-IR" w:eastAsia="fa-IR"/>
        </w:rPr>
        <w:t>جدول ۳: کنترل منفی؛ خروجی حسابرس سطح ۰</w:t>
      </w:r>
    </w:p>
    <w:tbl>
      <w:tblPr>
        <w:tblStyle w:val="TableGrid"/>
        <w:tblW w:type="auto" w:w="0"/>
        <w:jc w:val="center"/>
        <w:tblLook w:firstColumn="1" w:firstRow="1" w:lastColumn="0" w:lastRow="0" w:noHBand="0" w:noVBand="1" w:val="04A0"/>
        <w:bidiVisual w:val="1"/>
        <w:tblW w:w="5000" w:type="pct"/>
      </w:tblPr>
      <w:tblGrid>
        <w:gridCol w:w="4700"/>
        <w:gridCol w:w="2800"/>
        <w:gridCol w:w="2592"/>
      </w:tblGrid>
      <w:tr>
        <w:trPr>
          <w:cantSplit/>
        </w:trPr>
        <w:tc>
          <w:tcPr>
            <w:tcW w:type="dxa" w:w="47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28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2592"/>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بدون آزمون ISO و بدون ایمپلنت</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تأثیر ۲، پیامد ۳</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device_software_kind</w:t>
            </w:r>
            <w:r>
              <w:rPr>
                <w:rFonts w:ascii="Times New Roman" w:hAnsi="Times New Roman" w:cs="B Nazanin" w:eastAsia="B Nazanin"/>
                <w:b w:val="0"/>
                <w:sz w:val="15"/>
                <w:rtl w:val="1"/>
                <w:lang w:val="en-US" w:bidi="fa-IR" w:eastAsia="fa-IR"/>
              </w:rPr>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1, 3, 8</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physics_based</w:t>
            </w:r>
            <w:r>
              <w:rPr>
                <w:rFonts w:ascii="Times New Roman" w:hAnsi="Times New Roman" w:cs="B Nazanin" w:eastAsia="B Nazanin"/>
                <w:b w:val="0"/>
                <w:sz w:val="15"/>
                <w:rtl w:val="1"/>
                <w:lang w:val="en-US" w:bidi="fa-IR" w:eastAsia="fa-IR"/>
              </w:rPr>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بله؛ درجهٔ حسابرس ۰</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t>برچسب</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کنترل مثبت است: کمپین اجراشده و بازپخش‌پذیر، با مداخله و سی بذر جفتی. درمان با چهار کنترل مقایسه می‌شود: محتوای تهی، کانال بسته، کانال روشن بدون این سوگیری، و محتوای برخورده. سنجه میانگین انرژی پایانی گیرنده در شبیه‌سازی است. حسابرس همین بسته را در سطح ۴ می‌گذارد. برچسب فایل results_v7.json برابر intervention_supported است و درجهٔ حسابرس ۴ است.</w:t>
      </w:r>
    </w:p>
    <w:p>
      <w:pPr>
        <w:jc w:val="both"/>
        <w:bidi w:val="1"/>
      </w:pPr>
      <w:r>
        <w:rPr>
          <w:rFonts w:ascii="Times New Roman" w:hAnsi="Times New Roman" w:cs="B Nazanin" w:eastAsia="B Nazanin"/>
          <w:sz w:val="20"/>
          <w:rtl w:val="1"/>
          <w:lang w:val="en-US" w:bidi="fa-IR" w:eastAsia="fa-IR"/>
        </w:rPr>
        <w:t>فایل results_v7.json با پیشوند اثرانگشت 28f812c5 سه مقایسهٔ جفتی دارد [16]. نسبت به کانال روشن و بدون سوگیری منشأ، اختلاف ۱۶٫۴۹ واحد است. کران پایین بازه ۱۴٫۲۵ و کران بالا ۱۹٫۱۴ است. p خام 4.99975e-5 کف آزمون مونتکارلو با ۲۰۰۰۰ نمونه‌گیری است و p پس از Holm برابر 1.50e-4 است. نسبت به کانال بسته و محتوای تهی، اختلاف ۳۰٫۶۷ واحد است، با کران پایین ۲۶٫۰۳ و کران بالا ۳۵٫۳۲. مقایسهٔ اول دو تنظیم را با هم عوض می‌کند: آستانهٔ تناسب منبع از ۱٫۵ به صفر و سیاست پذیرش از FITNESS_WEIGHTED به THRESHOLD. تفاضل ۱۶٫۴۹ به همین بسته نسبت داده می‌شود، نه به یک پیچ تنها. مقایسهٔ دوم هم محتوا را عوض می‌کند و هم سوگیری را. بازهٔ اختیاری studentized حدود ۱۴٫۰۵ تا ۱۹٫۳۰ است و فایل v7 دست نمی‌خورد.</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rPr>
          <w:cantSplit/>
        </w:trP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انرژی پایانی گیرنده</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source_bias_on vs source_bias_off</w:t>
            </w:r>
            <w:r>
              <w:rPr>
                <w:rFonts w:ascii="Times New Roman" w:hAnsi="Times New Roman" w:cs="B Nazanin" w:eastAsia="B Nazanin"/>
                <w:b w:val="0"/>
                <w:sz w:val="16"/>
                <w:rtl w:val="1"/>
                <w:lang w:val="en-US" w:bidi="fa-IR" w:eastAsia="fa-IR"/>
              </w:rPr>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16.49; BCa [14.25, 19.14]</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source_bias_on vs capsules_off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30.67; BCa [26.03, 35.32]</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4.99975e-5 / 1.50e-4</w:t>
            </w:r>
            <w:r>
              <w:rPr>
                <w:rFonts w:ascii="Times New Roman" w:hAnsi="Times New Roman" w:cs="B Nazanin" w:eastAsia="B Nazanin"/>
                <w:b w:val="0"/>
                <w:sz w:val="16"/>
                <w:rtl w:val="1"/>
                <w:lang w:val="en-US" w:bidi="fa-IR" w:eastAsia="fa-IR"/>
              </w:rPr>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درجهٔ حسابرس</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4</w:t>
            </w:r>
            <w:r>
              <w:rPr>
                <w:rFonts w:ascii="Times New Roman" w:hAnsi="Times New Roman" w:cs="B Nazanin" w:eastAsia="B Nazanin"/>
                <w:b w:val="0"/>
                <w:sz w:val="16"/>
                <w:rtl w:val="1"/>
                <w:lang w:val="en-US" w:bidi="fa-IR" w:eastAsia="fa-IR"/>
              </w:rPr>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کنترل منفی، بدون شاهد اجرایی</w:t>
      </w:r>
    </w:p>
    <w:p>
      <w:pPr>
        <w:jc w:val="both"/>
        <w:bidi w:val="1"/>
      </w:pPr>
      <w:r>
        <w:rPr>
          <w:rFonts w:ascii="Times New Roman" w:hAnsi="Times New Roman" w:cs="B Nazanin" w:eastAsia="B Nazanin"/>
          <w:sz w:val="20"/>
          <w:rtl w:val="1"/>
          <w:lang w:val="en-US" w:bidi="fa-IR" w:eastAsia="fa-IR"/>
        </w:rPr>
        <w:t>جدول با زمینهٔ یک مدل تجهیز به حسابرس داده شد و شاهد اجرایی ندارد. سؤال این بود که آیا امتیازها، بدون بازپخش و بدون مداخله، اجازه می‌دهند اندازهٔ بدترین حالت انتخاب شود. آزمون ISO 14879-1 و ایمپلنت در کار نیست. تأثیر مدل ۲ و پیامد تصمیم ۳ است، پس ریسک مدل ۳ ثبت می‌شود. امتیاز درمان ۰٫۱۲، ۰٫۱۱ و ۰٫۱۳ و کنترل ۰٫۲۰، ۰٫۱۹ و ۰٫۲۱ است. برچسب‌ها simd_declared، ردهٔ B از IEC 62304، دستهٔ II از IMDRF و شواهد ۱، ۳ و ۸ هستند. خروجی سطح صفر بود. HE01، کنترل مثبت، به سطح ۴ می‌رسد. فاصلهٔ این دو خروجی را هیچ برچسبی پر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روش اعتبار یک مدل در زمینهٔ کاربرد مشخص است. در این بستر، پرسش، زمینه، تأثیر و پیامد ثبت می‌شود و سپس ادعای همراه بسته درجه می‌گیرد. اگر آزمون نیمکت یا in vivo در دست باشد، بیرون از نرم‌افزار جمع می‌شود و فقط به شکل دستهٔ راهنمای FDA ۲۰۲۳ اعلام می‌گردد. کودون‌تریس جای آن آزمون‌ها را نمی‌گیرد و حساب ادعا را نگه می‌دارد. نسخه از پیکربندی پروژه خوانده می‌شود و اعداد کمپین در این متن دوباره تولید نشده‌اند.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راهنمای FDA سال ۲۰۲۳ مدل یادگیری ماشین مستقل را در بر نمی‌گیرد. تفاضل ۱۶٫۴۹ به بستهٔ دو تنظیم نسبت داده می‌شود، نه به سوگیری تنها. گام بعدی، ارزیابی همین حسابرس روی پروفایل سخت‌افزار و نشاندن یک مدل فیزیک‌محور با مانیفست روی همین پورت است.</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فاصلهٔ کنترل مثبت و کنترل منفی را هیچ برچسبی پر نمی‌کند. HE01، کمپین اجراشده با سی بذر و بازه، به سطح ۴ رسید. جدول مدل تجهیز، با برچسب تنظیم‌گری و بدون شاهد اجرایی، در سطح صفر ماند. موتور حوزه را نمی‌شناسد و واژگان ASME V&amp;V 40، راهنمای FDA ۲۰۲۳، IEC 62304 و IMDRF از پورت پزشکی روی همین نردبان می‌نشیند.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p>
      <w:pPr>
        <w:pStyle w:val="References"/>
      </w:pPr>
      <w:r>
        <w:t>[19] A. Sokolov, “MIRROR: Local Evidence Bundles for Reproducible Research Software Review,” Zenodo, May 2026, doi: 10.5281/zenodo.20463358.</w:t>
      </w:r>
    </w:p>
    <w:p>
      <w:pPr>
        <w:pStyle w:val="References"/>
      </w:pPr>
      <w:r>
        <w:t>[20] M. Seyedkazemi Ardebili, “NovaFabric: Tamper-Evident, Replayable Evidence for Autonomous AI Agent Runs,” arXiv:2609.12582, 2026.</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