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360" w:lineRule="auto" w:before="0"/>
        <w:jc w:val="center"/>
        <w:bidi w:val="1"/>
      </w:pPr>
      <w:r>
        <w:rPr>
          <w:rFonts w:ascii="Calibri" w:hAnsi="Calibri" w:cs="Calibri" w:eastAsia="Calibri"/>
          <w:b/>
          <w:i w:val="0"/>
          <w:sz w:val="36"/>
          <w:rtl/>
          <w:cs/>
        </w:rPr>
        <w:t>حسابرسی ادعاهای محاسباتی با نردبان شواهد کودون‌تریس جنسیس و ممیزی چهار نقص واقعی</w:t>
      </w:r>
    </w:p>
    <w:p>
      <w:pPr>
        <w:spacing w:after="40" w:line="360" w:lineRule="auto" w:before="0"/>
        <w:jc w:val="center"/>
        <w:bidi w:val="1"/>
      </w:pPr>
      <w:r>
        <w:rPr>
          <w:rFonts w:ascii="Calibri" w:hAnsi="Calibri" w:cs="Calibri" w:eastAsia="Calibri"/>
          <w:b/>
          <w:i w:val="0"/>
          <w:sz w:val="26"/>
          <w:rtl/>
          <w:cs/>
        </w:rPr>
        <w:t>پرواز جمیعی / Parvaz Jamei</w:t>
      </w:r>
    </w:p>
    <w:p>
      <w:pPr>
        <w:spacing w:after="40" w:line="360" w:lineRule="auto" w:before="0"/>
        <w:jc w:val="center"/>
        <w:bidi w:val="1"/>
      </w:pPr>
      <w:r>
        <w:rPr>
          <w:rFonts w:ascii="Calibri" w:hAnsi="Calibri" w:cs="Calibri" w:eastAsia="Calibri"/>
          <w:b w:val="0"/>
          <w:i w:val="0"/>
          <w:sz w:val="24"/>
          <w:rtl/>
          <w:cs/>
        </w:rPr>
        <w:t>پژوهشگر مستقل، مشهد، ایران</w:t>
      </w:r>
    </w:p>
    <w:p>
      <w:pPr>
        <w:spacing w:after="40" w:line="360" w:lineRule="auto" w:before="0"/>
        <w:jc w:val="center"/>
        <w:bidi w:val="1"/>
      </w:pPr>
      <w:r>
        <w:rPr>
          <w:rFonts w:ascii="Calibri" w:hAnsi="Calibri" w:cs="Calibri" w:eastAsia="Calibri"/>
          <w:b w:val="0"/>
          <w:i w:val="0"/>
          <w:sz w:val="22"/>
          <w:rtl/>
          <w:cs/>
        </w:rPr>
        <w:t>parvaz.nic@gmail.com  —  ORCID: 0009-0002-9980-270X</w:t>
      </w:r>
    </w:p>
    <w:p>
      <w:pPr>
        <w:spacing w:after="200" w:line="360" w:lineRule="auto" w:before="0"/>
        <w:jc w:val="center"/>
        <w:bidi w:val="1"/>
      </w:pPr>
      <w:r>
        <w:rPr>
          <w:rFonts w:ascii="Calibri" w:hAnsi="Calibri" w:cs="Calibri" w:eastAsia="Calibri"/>
          <w:b w:val="0"/>
          <w:i/>
          <w:sz w:val="22"/>
          <w:rtl/>
          <w:cs/>
        </w:rPr>
        <w:t>BAIC 2026 — نخستین کنگرهٔ ملی مهندسی پزشکی، هوش مصنوعی و علوم شناختی، دانشگاه فردوسی مشهد</w:t>
      </w:r>
    </w:p>
    <w:p>
      <w:pPr>
        <w:spacing w:after="280" w:line="360" w:lineRule="auto" w:before="0"/>
        <w:jc w:val="right"/>
        <w:bidi w:val="1"/>
      </w:pPr>
      <w:r>
        <w:rPr>
          <w:rFonts w:ascii="Calibri" w:hAnsi="Calibri" w:cs="Calibri" w:eastAsia="Calibri"/>
          <w:b w:val="0"/>
          <w:i/>
          <w:sz w:val="22"/>
          <w:rtl/>
          <w:cs/>
        </w:rPr>
        <w:t>سقف ادعا: حسابرسی ادعا + مکمل ASME V&amp;V 40. نه وسیلهٔ پزشکی، SaMD، IVD، تأیید FDA/CE، و نه گواهی ASME. موتور تکامل حوزه نمی‌شناسد؛ برچسب پزشکی یک DomainProfile است. درخواست asme_vv40_passed در کد ConfigurationError می‌دهد.</w:t>
      </w:r>
    </w:p>
    <w:p>
      <w:pPr>
        <w:spacing w:after="200" w:line="360" w:lineRule="auto" w:before="280"/>
        <w:jc w:val="right"/>
        <w:bidi w:val="1"/>
      </w:pPr>
      <w:r>
        <w:rPr>
          <w:rFonts w:ascii="Calibri" w:hAnsi="Calibri" w:cs="Calibri" w:eastAsia="Calibri"/>
          <w:b/>
          <w:i w:val="0"/>
          <w:sz w:val="32"/>
          <w:rtl/>
          <w:cs/>
        </w:rPr>
        <w:t>چکیده</w:t>
      </w:r>
    </w:p>
    <w:p>
      <w:pPr>
        <w:spacing w:after="160" w:line="360" w:lineRule="auto" w:before="0"/>
        <w:ind w:firstLine="283"/>
        <w:jc w:val="right"/>
        <w:bidi w:val="1"/>
      </w:pPr>
      <w:r>
        <w:rPr>
          <w:rFonts w:ascii="Calibri" w:hAnsi="Calibri" w:cs="Calibri" w:eastAsia="Calibri"/>
          <w:b w:val="0"/>
          <w:i w:val="0"/>
          <w:sz w:val="24"/>
          <w:rtl/>
          <w:cs/>
        </w:rPr>
        <w:t>بازپخش‌پذیری یک شبیه‌سازی به‌تنهایی کفایت شواهد برای ادعای علّی را تضمین نمی‌کند. این مقاله کودون‌تریس جنسیس را به‌عنوان بستری برای پیوند اجرای قطعی، ثبت منشأ و حسابرسی ادعا معرفی می‌کند. سامانه بازپخش بیت‌به‌بیت، مداخلهٔ مستقل بر یال‌های سازوکار، شمارنده‌های مجزای تلاش، پذیرش و اعمال، و نردبان شش‌سطحی شواهد دارد.</w:t>
      </w:r>
    </w:p>
    <w:p>
      <w:pPr>
        <w:spacing w:after="160" w:line="360" w:lineRule="auto" w:before="0"/>
        <w:ind w:firstLine="283"/>
        <w:jc w:val="right"/>
        <w:bidi w:val="1"/>
      </w:pPr>
      <w:r>
        <w:rPr>
          <w:rFonts w:ascii="Calibri" w:hAnsi="Calibri" w:cs="Calibri" w:eastAsia="Calibri"/>
          <w:b w:val="0"/>
          <w:i w:val="0"/>
          <w:sz w:val="24"/>
          <w:rtl/>
          <w:cs/>
        </w:rPr>
        <w:t>ممیزی مهندسی — نه کشف خودکار نردبان — چهار نقص را شناسایی کرد: وابستگی هش برخی مستندات به پایان خط؛ کم‌پوششی بازهٔ اطمینان در n کوچک؛ نام‌گذاری آزمونی که برای n&gt;۲۰ مونت‌کارلو است به‌عنوان «دقیق»؛ و ناسازگاری واژگان نقش آداپتور با مصنوع اصلی. در درخت فعلی، بوت‌استرپ studentized و شمارش دقیق علامت برای n≤۴۰ اختیاری‌اند؛ پیش‌فرض‌های منتشرشده عوض نشده‌اند تا پین کمپین نشکند.</w:t>
      </w:r>
    </w:p>
    <w:p>
      <w:pPr>
        <w:spacing w:after="160" w:line="360" w:lineRule="auto" w:before="0"/>
        <w:ind w:firstLine="283"/>
        <w:jc w:val="right"/>
        <w:bidi w:val="1"/>
      </w:pPr>
      <w:r>
        <w:rPr>
          <w:rFonts w:ascii="Calibri" w:hAnsi="Calibri" w:cs="Calibri" w:eastAsia="Calibri"/>
          <w:b w:val="0"/>
          <w:i w:val="0"/>
          <w:sz w:val="24"/>
          <w:rtl/>
          <w:cs/>
        </w:rPr>
        <w:t>سنجش داخلی حسابرس روی یک بستهٔ مرجع و هشت بستهٔ دستکاری‌شده سه عدم‌انطباق با انتظار آزمون نشان داد؛ نسبت ۳۷٫۵٪ صرفاً توصیف همین مجموعه است و فایل 09_results/ladder_validation.json در مخزن عمومی نیست. بازتحلیل ۳۰ بذر جفتی از docs/hard_experiment_01/results_v7.json تفاضل ۱۶٫۴۹ واحد انرژی شبیه‌سازی‌شده را میان دو پیکربندی انتقال کپسول تأیید می‌کند؛ اما مداخلهٔ مرکب، اشباع سنجه در چند بازو، و زادآوری صفر، انتساب اثر به منشأ اطلاعات را محدود می‌کند. دستاورد، زیرساخت ممیزی و آشکارکردن مرز اعتبار ادعاست؛ نه اثبات هوشمندی، تکامل فرهنگی، جایگزینی آویدا، یا آمادگی بالینی.</w:t>
      </w:r>
    </w:p>
    <w:p>
      <w:pPr>
        <w:spacing w:after="160" w:line="360" w:lineRule="auto" w:before="0"/>
        <w:jc w:val="right"/>
        <w:bidi w:val="1"/>
      </w:pPr>
      <w:r>
        <w:rPr>
          <w:rFonts w:ascii="Calibri" w:hAnsi="Calibri" w:cs="Calibri" w:eastAsia="Calibri"/>
          <w:b w:val="0"/>
          <w:i/>
          <w:sz w:val="22"/>
          <w:rtl/>
          <w:cs/>
        </w:rPr>
        <w:t>کلیدواژه‌ها: حسابرسی شواهد، بازپخش‌پذیری، اعتبار مدل محاسباتی، مداخلهٔ علّی، مکمل ASME V&amp;V 40</w:t>
      </w:r>
    </w:p>
    <w:p>
      <w:pPr>
        <w:spacing w:after="200" w:line="360" w:lineRule="auto" w:before="280"/>
        <w:jc w:val="right"/>
        <w:bidi w:val="1"/>
      </w:pPr>
      <w:r>
        <w:rPr>
          <w:rFonts w:ascii="Calibri" w:hAnsi="Calibri" w:cs="Calibri" w:eastAsia="Calibri"/>
          <w:b/>
          <w:i w:val="0"/>
          <w:sz w:val="32"/>
          <w:rtl/>
          <w:cs/>
        </w:rPr>
        <w:t>۱. مقدمه</w:t>
      </w:r>
    </w:p>
    <w:p>
      <w:pPr>
        <w:spacing w:after="160" w:line="360" w:lineRule="auto" w:before="0"/>
        <w:ind w:firstLine="283"/>
        <w:jc w:val="right"/>
        <w:bidi w:val="1"/>
      </w:pPr>
      <w:r>
        <w:rPr>
          <w:rFonts w:ascii="Calibri" w:hAnsi="Calibri" w:cs="Calibri" w:eastAsia="Calibri"/>
          <w:b w:val="0"/>
          <w:i w:val="0"/>
          <w:sz w:val="24"/>
          <w:rtl/>
          <w:cs/>
        </w:rPr>
        <w:t>کیفیت یک نتیجهٔ محاسباتی به درستی اجرا، قابلیت بازپخش، و تناسب شواهد با ادعا وابسته است. پیوست چهارم قانون هوش مصنوعی اتحادیهٔ اروپا مستندسازی اعتبارسنجی، سنجه‌ها و گزارش آزمون را برای سامانه‌های مشمول مقرر می‌کند [1]؛ این الزام به‌تنهایی الگوریتمی برای رتبه‌بندی هر ادعای پژوهشی نیست.</w:t>
      </w:r>
    </w:p>
    <w:p>
      <w:pPr>
        <w:spacing w:after="160" w:line="360" w:lineRule="auto" w:before="0"/>
        <w:ind w:firstLine="283"/>
        <w:jc w:val="right"/>
        <w:bidi w:val="1"/>
      </w:pPr>
      <w:r>
        <w:rPr>
          <w:rFonts w:ascii="Calibri" w:hAnsi="Calibri" w:cs="Calibri" w:eastAsia="Calibri"/>
          <w:b w:val="0"/>
          <w:i w:val="0"/>
          <w:sz w:val="24"/>
          <w:rtl/>
          <w:cs/>
        </w:rPr>
        <w:t>دو شکاف عملی این کار را برانگیخت. نخست در گزارش پژوهش: Angermeir و همکاران ۸۵ مقالهٔ مبتنی بر مدل زبانی در ICSE و ASE ۲۰۲۴ را بررسی کردند؛ ۱۸ مورد با مصنوع و مدل‌های OpenAI وارد آزمون بازتولید شدند، فقط پنج مصنوع به‌اندازهٔ کافی کامل و اجرایی بودند، و نتایج هیچ‌یک کاملاً بازتولید نشد [2]. دوم در نگهداری مصنوع: Mirkovic، Liang و Balenson روی ۹۷ مصنوع امنیت سایبری با نشان بازتولید نتایج کار کردند؛ از ۶۲ نامزد واجد شرایط، ۴۳ مورد در یک ساعت اجرا شدند و برخی مصنوع‌های قابل‌استفاده چند ماه بعد از کار افتادند [3]. این یافته‌ها ضرورت نگهداری و ارزیابی مجدد شواهد را نشان می‌دهند، نه نرخ شکست تمام نرم‌افزارهای پژوهشی را.</w:t>
      </w:r>
    </w:p>
    <w:p>
      <w:pPr>
        <w:spacing w:after="160" w:line="360" w:lineRule="auto" w:before="0"/>
        <w:ind w:firstLine="283"/>
        <w:jc w:val="right"/>
        <w:bidi w:val="1"/>
      </w:pPr>
      <w:r>
        <w:rPr>
          <w:rFonts w:ascii="Calibri" w:hAnsi="Calibri" w:cs="Calibri" w:eastAsia="Calibri"/>
          <w:b w:val="0"/>
          <w:i w:val="0"/>
          <w:sz w:val="24"/>
          <w:rtl/>
          <w:cs/>
        </w:rPr>
        <w:t>درجه‌بندی اعتبار پیشینه دارد. NASA-STD-7009B بر ارزیابی و انتقال اعتبار نتایج مدل‌سازی تأکید می‌کند [4] و ASME V&amp;V 40 اعتبار لازم را به زمینهٔ کاربرد و ریسک تصمیم مرتبط می‌سازد [5]. ادبیات محاسبات تکاملی نیز بر گزارش روش، عدم‌قطعیت و بازتولیدپذیری تأکید دارد [6]. آویدا بستری برای برنامه‌های خودتکثیرشونده است [7]؛ این مقاله ادعای جایگزینی آن را ندارد. «بازتولیدپذیری» در کیفیت‌تنوع می‌تواند به ثبات عملکرد یک راه‌حل در محیط نامطمئن اشاره کند [8]؛ این مفهوم با بازپخش بیت‌به‌بیت یک اجرای نرم‌افزار یکسان نیست.</w:t>
      </w:r>
    </w:p>
    <w:p>
      <w:pPr>
        <w:spacing w:after="160" w:line="360" w:lineRule="auto" w:before="0"/>
        <w:ind w:firstLine="283"/>
        <w:jc w:val="right"/>
        <w:bidi w:val="1"/>
      </w:pPr>
      <w:r>
        <w:rPr>
          <w:rFonts w:ascii="Calibri" w:hAnsi="Calibri" w:cs="Calibri" w:eastAsia="Calibri"/>
          <w:b w:val="0"/>
          <w:i w:val="0"/>
          <w:sz w:val="24"/>
          <w:rtl/>
          <w:cs/>
        </w:rPr>
        <w:t>سهم این کار سه بخش دارد: یکپارچه‌سازی اجرای قطعی و مداخلهٔ یال‌به‌یال با حسابرسی شواهد؛ مطالعهٔ موردی چهار نقص در زنجیرهٔ تولید شواهد؛ و سنجش اولیهٔ حسابرس همراه با بازتحلیل آماری یک آزمایش انتقال اطلاعات. تازگی مورد ادعا در این ترکیب اجرایی و گزارش قابل‌ممیزی شکست‌هاست، نه در ابداع نردبان اعتبار یا اثبات برتری بر چارچوب‌های موجود.</w:t>
      </w:r>
    </w:p>
    <w:p>
      <w:pPr>
        <w:spacing w:after="200" w:line="360" w:lineRule="auto" w:before="280"/>
        <w:jc w:val="right"/>
        <w:bidi w:val="1"/>
      </w:pPr>
      <w:r>
        <w:rPr>
          <w:rFonts w:ascii="Calibri" w:hAnsi="Calibri" w:cs="Calibri" w:eastAsia="Calibri"/>
          <w:b/>
          <w:i w:val="0"/>
          <w:sz w:val="32"/>
          <w:rtl/>
          <w:cs/>
        </w:rPr>
        <w:t>۲. سامانه</w:t>
      </w:r>
    </w:p>
    <w:p>
      <w:pPr>
        <w:spacing w:after="160" w:line="360" w:lineRule="auto" w:before="0"/>
        <w:ind w:firstLine="283"/>
        <w:jc w:val="right"/>
        <w:bidi w:val="1"/>
      </w:pPr>
      <w:r>
        <w:rPr>
          <w:rFonts w:ascii="Calibri" w:hAnsi="Calibri" w:cs="Calibri" w:eastAsia="Calibri"/>
          <w:b w:val="0"/>
          <w:i w:val="0"/>
          <w:sz w:val="24"/>
          <w:rtl/>
          <w:cs/>
        </w:rPr>
        <w:t>هسته از ژنوم، عامل، جهان و زمان‌بند تشکیل شده است. تنظیمات ساختاریافته هنگام ایجاد اعتبارسنجی می‌شوند؛ گزینه‌های جدید با پیش‌فرض خاموش و سریال‌سازیِ مقادیر غیرپیش‌فرض، سازگاری با پیکربندی‌های پیشین را هدف می‌گیرند. توصیف مدل از منطق مستندسازی ODD بهره می‌برد [9].</w:t>
      </w:r>
    </w:p>
    <w:p>
      <w:pPr>
        <w:spacing w:after="160" w:line="360" w:lineRule="auto" w:before="0"/>
        <w:ind w:firstLine="283"/>
        <w:jc w:val="right"/>
        <w:bidi w:val="1"/>
      </w:pPr>
      <w:r>
        <w:rPr>
          <w:rFonts w:ascii="Calibri" w:hAnsi="Calibri" w:cs="Calibri" w:eastAsia="Calibri"/>
          <w:b w:val="0"/>
          <w:i w:val="0"/>
          <w:sz w:val="24"/>
          <w:rtl/>
          <w:cs/>
        </w:rPr>
        <w:t>مسیر سازوکار از ژنوم، زنجیرهٔ ابزار و فنوتیپ ماشین مجازی به کنش، پیامد منابع، تجربه، کپسول دارای منشأ، انتقال، پذیرش، اعمال در سیاست گیرنده، بقا، تولیدمثل و جهش می‌رسد. چون وضعیت بعدی به گام بعدی بازمی‌گردد، تعبیر گراف بدون دور فقط با بازکردن زمان معتبر است. شناسهٔ یال و دیجست‌های پیش و پس برای ردیابی تغییرات، و شمارنده‌های attempted، accepted و applied به‌ترتیب برای تلاش، پذیرش و اعمال ثبت می‌شوند. این تفکیک مانع یکی‌گرفتن انتقال پیام با تغییر رفتار می‌شود.</w:t>
      </w:r>
    </w:p>
    <w:p>
      <w:pPr>
        <w:spacing w:after="160" w:line="360" w:lineRule="auto" w:before="0"/>
        <w:ind w:firstLine="283"/>
        <w:jc w:val="right"/>
        <w:bidi w:val="1"/>
      </w:pPr>
      <w:r>
        <w:rPr>
          <w:rFonts w:ascii="Calibri" w:hAnsi="Calibri" w:cs="Calibri" w:eastAsia="Calibri"/>
          <w:b w:val="0"/>
          <w:i w:val="0"/>
          <w:sz w:val="24"/>
          <w:rtl/>
          <w:cs/>
        </w:rPr>
        <w:t>حسابرس (codontrace.claimgate) از موتور جداست؛ مرز با یک بررسی AST روی واردات الزامی می‌شود. حوزه‌ها با DomainProfile وصل می‌شوند (alife / biomedical / hardware). موتور پزشکی نمی‌شناسد و engine.py برای حوزهٔ پزشکی بازنویسی نمی‌شود. آداپتور زیست‌پزشکی فقط برچسب زمینهٔ کاربرد و ریسک اعلام‌شده توسط کاربر را حمل می‌کند؛ مدل را تأیید بالینی نمی‌کند.</w:t>
      </w:r>
    </w:p>
    <w:p>
      <w:pPr>
        <w:spacing w:after="160" w:line="360" w:lineRule="auto" w:before="0"/>
        <w:ind w:firstLine="283"/>
        <w:jc w:val="right"/>
        <w:bidi w:val="1"/>
      </w:pPr>
      <w:r>
        <w:rPr>
          <w:rFonts w:ascii="Calibri" w:hAnsi="Calibri" w:cs="Calibri" w:eastAsia="Calibri"/>
          <w:b w:val="0"/>
          <w:i w:val="0"/>
          <w:sz w:val="24"/>
          <w:rtl/>
          <w:cs/>
        </w:rPr>
        <w:t>نردبان عمومی شش سطح دارد. سطح ۳ به مداخله یا حذف یال، کنترل منفی و شواهد بازپخش نیاز دارد؛ سطح ۴ در حسابرس بررسی‌شده، بازهٔ اطمینان و حداقل ۱۶ بذر را اضافه می‌کند. این آستانه سیاست همین پیاده‌سازی است، نه قانون عمومی کفایت نمونه. سطح ۵ به آرشیو، محدودیت‌های مستند و شواهد آماری و مداخله‌ای وابسته است و معادل پذیرش علمی یا تأیید بالینی نیست. حسابرس از مسیر تولید آزمایش جداست، اما به‌دست همان پروژه توسعه یافته و ارزیاب بیرونی محسوب نمی‌شود.</w:t>
      </w:r>
    </w:p>
    <w:p>
      <w:pPr>
        <w:spacing w:after="160" w:line="360" w:lineRule="auto" w:before="0"/>
        <w:ind w:firstLine="283"/>
        <w:jc w:val="right"/>
        <w:bidi w:val="1"/>
      </w:pPr>
      <w:r>
        <w:rPr>
          <w:rFonts w:ascii="Calibri" w:hAnsi="Calibri" w:cs="Calibri" w:eastAsia="Calibri"/>
          <w:b w:val="0"/>
          <w:i w:val="0"/>
          <w:sz w:val="24"/>
          <w:rtl/>
          <w:cs/>
        </w:rPr>
        <w:t>برابری خروجی بازوها فقط وقتی نشانهٔ آزمون نامعتبر (assay_invalid) است که بررسی تحقق مداخله نیز شکست بخورد؛ برابری یک سنجه به‌تنهایی نه نبود مداخله را اثبات می‌کند و نه یک نتیجهٔ صفر معتبر را رد می‌کند.</w:t>
      </w:r>
    </w:p>
    <w:p>
      <w:pPr>
        <w:spacing w:after="200" w:line="360" w:lineRule="auto" w:before="280"/>
        <w:jc w:val="right"/>
        <w:bidi w:val="1"/>
      </w:pPr>
      <w:r>
        <w:rPr>
          <w:rFonts w:ascii="Calibri" w:hAnsi="Calibri" w:cs="Calibri" w:eastAsia="Calibri"/>
          <w:b/>
          <w:i w:val="0"/>
          <w:sz w:val="32"/>
          <w:rtl/>
          <w:cs/>
        </w:rPr>
        <w:t>۳. چهار نقص شناسایی‌شده در ممیزی مهندسی</w:t>
      </w:r>
    </w:p>
    <w:p>
      <w:pPr>
        <w:spacing w:after="160" w:line="360" w:lineRule="auto" w:before="0"/>
        <w:ind w:firstLine="283"/>
        <w:jc w:val="right"/>
        <w:bidi w:val="1"/>
      </w:pPr>
      <w:r>
        <w:rPr>
          <w:rFonts w:ascii="Calibri" w:hAnsi="Calibri" w:cs="Calibri" w:eastAsia="Calibri"/>
          <w:b w:val="0"/>
          <w:i w:val="0"/>
          <w:sz w:val="24"/>
          <w:rtl/>
          <w:cs/>
        </w:rPr>
        <w:t>کشف نقص‌ها حاصل اجرای آزمون‌ها، کالیبراسیون، بازبینی خصمانه و ساخت بسته‌های آزمون بود. نردبان به‌تنهایی آن‌ها را کشف نکرد. جهت خطاها یکسان نبود: کم‌پوششی می‌تواند قطعیت کاذب ایجاد کند، اما مقدار p مونت‌کارلو در این نمونه از مقدار دقیق بزرگ‌تر و محافظه‌کارانه‌تر بود. وضعیت هر بند در برابر main این مخزن آمده است. برنچ fix/small-sample-ci-coverage وجود ندارد.</w:t>
      </w:r>
    </w:p>
    <w:p>
      <w:pPr>
        <w:spacing w:after="200" w:line="360" w:lineRule="auto" w:before="200"/>
        <w:jc w:val="right"/>
        <w:bidi w:val="1"/>
      </w:pPr>
      <w:r>
        <w:rPr>
          <w:rFonts w:ascii="Calibri" w:hAnsi="Calibri" w:cs="Calibri" w:eastAsia="Calibri"/>
          <w:b/>
          <w:i w:val="0"/>
          <w:sz w:val="26"/>
          <w:rtl/>
          <w:cs/>
        </w:rPr>
        <w:t>۳-۱. دیجست مستندات و پایان خط</w:t>
      </w:r>
    </w:p>
    <w:p>
      <w:pPr>
        <w:spacing w:after="160" w:line="360" w:lineRule="auto" w:before="0"/>
        <w:ind w:firstLine="283"/>
        <w:jc w:val="right"/>
        <w:bidi w:val="1"/>
      </w:pPr>
      <w:r>
        <w:rPr>
          <w:rFonts w:ascii="Calibri" w:hAnsi="Calibri" w:cs="Calibri" w:eastAsia="Calibri"/>
          <w:b w:val="0"/>
          <w:i w:val="0"/>
          <w:sz w:val="24"/>
          <w:rtl/>
          <w:cs/>
        </w:rPr>
        <w:t>هش بایت خام پیش‌ثبت‌نامه‌ها و اصلاحیه‌ها به تفاوت LF و CRLF حساس است؛ تبدیل خودکار پایان خط در ویندوز می‌تواند پین لینوکس را بشکند. در درخت فعلی بخشی از مسیرهای متنی با splitlines خوانده می‌شوند، اما هش فایل در چند آداپتور همچنان Path.read_bytes() است و به بایت خام حساس می‌ماند. این مقاله ادعا نمی‌کند که هر نقطهٔ گزارش‌شدهٔ توسعه در نسخهٔ عمومی ادغام شده است. دیجست هویت محتوا را می‌سنجد و به‌خودی‌خود شاهد صحت علمی آن نیست.</w:t>
      </w:r>
    </w:p>
    <w:p>
      <w:pPr>
        <w:spacing w:after="200" w:line="360" w:lineRule="auto" w:before="200"/>
        <w:jc w:val="right"/>
        <w:bidi w:val="1"/>
      </w:pPr>
      <w:r>
        <w:rPr>
          <w:rFonts w:ascii="Calibri" w:hAnsi="Calibri" w:cs="Calibri" w:eastAsia="Calibri"/>
          <w:b/>
          <w:i w:val="0"/>
          <w:sz w:val="26"/>
          <w:rtl/>
          <w:cs/>
        </w:rPr>
        <w:t>۳-۲. بازهٔ اطمینان در نمونه‌های کوچک</w:t>
      </w:r>
    </w:p>
    <w:p>
      <w:pPr>
        <w:spacing w:after="160" w:line="360" w:lineRule="auto" w:before="0"/>
        <w:ind w:firstLine="283"/>
        <w:jc w:val="right"/>
        <w:bidi w:val="1"/>
      </w:pPr>
      <w:r>
        <w:rPr>
          <w:rFonts w:ascii="Calibri" w:hAnsi="Calibri" w:cs="Calibri" w:eastAsia="Calibri"/>
          <w:b w:val="0"/>
          <w:i w:val="0"/>
          <w:sz w:val="24"/>
          <w:rtl/>
          <w:cs/>
        </w:rPr>
        <w:t>جدول ۱ پوشش گزارش‌شدهٔ بازهٔ ۹۵٪ را در یک کالیبراسیون جفتی گاوسی تحت فرض صفر نشان می‌دهد. در n=۸ پوشش روش قبلی ۸۳٫۳٪ و روش studentized ۹۵٫۳٪ گزارش شده است. تعداد تکرارهای آن کالیبراسیون در این مخزن نیست؛ بنابراین خطای مونت‌کارلو یا برتری عمومی روش از این جدول قابل استنتاج نیست.</w:t>
      </w:r>
    </w:p>
    <w:p>
      <w:pPr>
        <w:spacing w:after="80" w:line="360" w:lineRule="auto" w:before="0"/>
        <w:jc w:val="right"/>
        <w:bidi w:val="1"/>
      </w:pPr>
      <w:r>
        <w:rPr>
          <w:rFonts w:ascii="Calibri" w:hAnsi="Calibri" w:cs="Calibri" w:eastAsia="Calibri"/>
          <w:b w:val="0"/>
          <w:i/>
          <w:sz w:val="22"/>
          <w:rtl/>
          <w:cs/>
        </w:rPr>
        <w:t>جدول ۱. پوشش گزارش‌شده در کالیبراسیون گاوسی جفتی (مصنوع کالیبراسیون در درخت نیست).</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F4E79" w:val="clear"/>
          </w:tcPr>
          <w:p>
            <w:pPr>
              <w:spacing w:after="160" w:line="360" w:lineRule="auto"/>
              <w:jc w:val="center"/>
              <w:bidi w:val="1"/>
            </w:pPr>
            <w:r>
              <w:rPr>
                <w:color w:val="FFFFFF"/>
              </w:rPr>
            </w:r>
            <w:r>
              <w:rPr>
                <w:rFonts w:ascii="Calibri" w:hAnsi="Calibri" w:cs="Calibri" w:eastAsia="Calibri"/>
                <w:b/>
                <w:i w:val="0"/>
                <w:color w:val="FFFFFF"/>
                <w:sz w:val="20"/>
                <w:rtl/>
                <w:cs/>
              </w:rPr>
              <w:t>n</w:t>
            </w:r>
          </w:p>
        </w:tc>
        <w:tc>
          <w:tcPr>
            <w:tcW w:type="dxa" w:w="3024"/>
            <w:shd w:fill="1F4E79" w:val="clear"/>
          </w:tcPr>
          <w:p>
            <w:pPr>
              <w:spacing w:after="160" w:line="360" w:lineRule="auto"/>
              <w:jc w:val="center"/>
              <w:bidi w:val="1"/>
            </w:pPr>
            <w:r>
              <w:rPr>
                <w:color w:val="FFFFFF"/>
              </w:rPr>
            </w:r>
            <w:r>
              <w:rPr>
                <w:rFonts w:ascii="Calibri" w:hAnsi="Calibri" w:cs="Calibri" w:eastAsia="Calibri"/>
                <w:b/>
                <w:i w:val="0"/>
                <w:color w:val="FFFFFF"/>
                <w:sz w:val="20"/>
                <w:rtl/>
                <w:cs/>
              </w:rPr>
              <w:t>روش قبلی</w:t>
            </w:r>
          </w:p>
        </w:tc>
        <w:tc>
          <w:tcPr>
            <w:tcW w:type="dxa" w:w="3024"/>
            <w:shd w:fill="1F4E79" w:val="clear"/>
          </w:tcPr>
          <w:p>
            <w:pPr>
              <w:spacing w:after="160" w:line="360" w:lineRule="auto"/>
              <w:jc w:val="center"/>
              <w:bidi w:val="1"/>
            </w:pPr>
            <w:r>
              <w:rPr>
                <w:color w:val="FFFFFF"/>
              </w:rPr>
            </w:r>
            <w:r>
              <w:rPr>
                <w:rFonts w:ascii="Calibri" w:hAnsi="Calibri" w:cs="Calibri" w:eastAsia="Calibri"/>
                <w:b/>
                <w:i w:val="0"/>
                <w:color w:val="FFFFFF"/>
                <w:sz w:val="20"/>
                <w:rtl/>
                <w:cs/>
              </w:rPr>
              <w:t>روش studentized</w:t>
            </w:r>
          </w:p>
        </w:tc>
      </w:tr>
      <w:tr>
        <w:tc>
          <w:tcPr>
            <w:tcW w:type="dxa" w:w="3024"/>
          </w:tcPr>
          <w:p>
            <w:pPr>
              <w:spacing w:after="160" w:line="360" w:lineRule="auto"/>
              <w:jc w:val="center"/>
              <w:bidi w:val="1"/>
            </w:pPr>
            <w:r/>
            <w:r>
              <w:rPr>
                <w:rFonts w:ascii="Calibri" w:hAnsi="Calibri" w:cs="Calibri" w:eastAsia="Calibri"/>
                <w:b w:val="0"/>
                <w:i w:val="0"/>
                <w:sz w:val="20"/>
                <w:rtl/>
                <w:cs/>
              </w:rPr>
              <w:t>8</w:t>
            </w:r>
          </w:p>
        </w:tc>
        <w:tc>
          <w:tcPr>
            <w:tcW w:type="dxa" w:w="3024"/>
          </w:tcPr>
          <w:p>
            <w:pPr>
              <w:spacing w:after="160" w:line="360" w:lineRule="auto"/>
              <w:jc w:val="center"/>
              <w:bidi w:val="1"/>
            </w:pPr>
            <w:r/>
            <w:r>
              <w:rPr>
                <w:rFonts w:ascii="Calibri" w:hAnsi="Calibri" w:cs="Calibri" w:eastAsia="Calibri"/>
                <w:b w:val="0"/>
                <w:i w:val="0"/>
                <w:sz w:val="20"/>
                <w:rtl/>
                <w:cs/>
              </w:rPr>
              <w:t>83.3%</w:t>
            </w:r>
          </w:p>
        </w:tc>
        <w:tc>
          <w:tcPr>
            <w:tcW w:type="dxa" w:w="3024"/>
          </w:tcPr>
          <w:p>
            <w:pPr>
              <w:spacing w:after="160" w:line="360" w:lineRule="auto"/>
              <w:jc w:val="center"/>
              <w:bidi w:val="1"/>
            </w:pPr>
            <w:r/>
            <w:r>
              <w:rPr>
                <w:rFonts w:ascii="Calibri" w:hAnsi="Calibri" w:cs="Calibri" w:eastAsia="Calibri"/>
                <w:b w:val="0"/>
                <w:i w:val="0"/>
                <w:sz w:val="20"/>
                <w:rtl/>
                <w:cs/>
              </w:rPr>
              <w:t>95.3%</w:t>
            </w:r>
          </w:p>
        </w:tc>
      </w:tr>
      <w:tr>
        <w:tc>
          <w:tcPr>
            <w:tcW w:type="dxa" w:w="3024"/>
            <w:shd w:fill="F2F2F2" w:val="clear"/>
          </w:tcPr>
          <w:p>
            <w:pPr>
              <w:spacing w:after="160" w:line="360" w:lineRule="auto"/>
              <w:jc w:val="center"/>
              <w:bidi w:val="1"/>
            </w:pPr>
            <w:r/>
            <w:r>
              <w:rPr>
                <w:rFonts w:ascii="Calibri" w:hAnsi="Calibri" w:cs="Calibri" w:eastAsia="Calibri"/>
                <w:b w:val="0"/>
                <w:i w:val="0"/>
                <w:sz w:val="20"/>
                <w:rtl/>
                <w:cs/>
              </w:rPr>
              <w:t>12</w:t>
            </w:r>
          </w:p>
        </w:tc>
        <w:tc>
          <w:tcPr>
            <w:tcW w:type="dxa" w:w="3024"/>
            <w:shd w:fill="F2F2F2" w:val="clear"/>
          </w:tcPr>
          <w:p>
            <w:pPr>
              <w:spacing w:after="160" w:line="360" w:lineRule="auto"/>
              <w:jc w:val="center"/>
              <w:bidi w:val="1"/>
            </w:pPr>
            <w:r/>
            <w:r>
              <w:rPr>
                <w:rFonts w:ascii="Calibri" w:hAnsi="Calibri" w:cs="Calibri" w:eastAsia="Calibri"/>
                <w:b w:val="0"/>
                <w:i w:val="0"/>
                <w:sz w:val="20"/>
                <w:rtl/>
                <w:cs/>
              </w:rPr>
              <w:t>90.7%</w:t>
            </w:r>
          </w:p>
        </w:tc>
        <w:tc>
          <w:tcPr>
            <w:tcW w:type="dxa" w:w="3024"/>
            <w:shd w:fill="F2F2F2" w:val="clear"/>
          </w:tcPr>
          <w:p>
            <w:pPr>
              <w:spacing w:after="160" w:line="360" w:lineRule="auto"/>
              <w:jc w:val="center"/>
              <w:bidi w:val="1"/>
            </w:pPr>
            <w:r/>
            <w:r>
              <w:rPr>
                <w:rFonts w:ascii="Calibri" w:hAnsi="Calibri" w:cs="Calibri" w:eastAsia="Calibri"/>
                <w:b w:val="0"/>
                <w:i w:val="0"/>
                <w:sz w:val="20"/>
                <w:rtl/>
                <w:cs/>
              </w:rPr>
              <w:t>95.0%</w:t>
            </w:r>
          </w:p>
        </w:tc>
      </w:tr>
      <w:tr>
        <w:tc>
          <w:tcPr>
            <w:tcW w:type="dxa" w:w="3024"/>
          </w:tcPr>
          <w:p>
            <w:pPr>
              <w:spacing w:after="160" w:line="360" w:lineRule="auto"/>
              <w:jc w:val="center"/>
              <w:bidi w:val="1"/>
            </w:pPr>
            <w:r/>
            <w:r>
              <w:rPr>
                <w:rFonts w:ascii="Calibri" w:hAnsi="Calibri" w:cs="Calibri" w:eastAsia="Calibri"/>
                <w:b w:val="0"/>
                <w:i w:val="0"/>
                <w:sz w:val="20"/>
                <w:rtl/>
                <w:cs/>
              </w:rPr>
              <w:t>16</w:t>
            </w:r>
          </w:p>
        </w:tc>
        <w:tc>
          <w:tcPr>
            <w:tcW w:type="dxa" w:w="3024"/>
          </w:tcPr>
          <w:p>
            <w:pPr>
              <w:spacing w:after="160" w:line="360" w:lineRule="auto"/>
              <w:jc w:val="center"/>
              <w:bidi w:val="1"/>
            </w:pPr>
            <w:r/>
            <w:r>
              <w:rPr>
                <w:rFonts w:ascii="Calibri" w:hAnsi="Calibri" w:cs="Calibri" w:eastAsia="Calibri"/>
                <w:b w:val="0"/>
                <w:i w:val="0"/>
                <w:sz w:val="20"/>
                <w:rtl/>
                <w:cs/>
              </w:rPr>
              <w:t>90.0%</w:t>
            </w:r>
          </w:p>
        </w:tc>
        <w:tc>
          <w:tcPr>
            <w:tcW w:type="dxa" w:w="3024"/>
          </w:tcPr>
          <w:p>
            <w:pPr>
              <w:spacing w:after="160" w:line="360" w:lineRule="auto"/>
              <w:jc w:val="center"/>
              <w:bidi w:val="1"/>
            </w:pPr>
            <w:r/>
            <w:r>
              <w:rPr>
                <w:rFonts w:ascii="Calibri" w:hAnsi="Calibri" w:cs="Calibri" w:eastAsia="Calibri"/>
                <w:b w:val="0"/>
                <w:i w:val="0"/>
                <w:sz w:val="20"/>
                <w:rtl/>
                <w:cs/>
              </w:rPr>
              <w:t>94.0%</w:t>
            </w:r>
          </w:p>
        </w:tc>
      </w:tr>
      <w:tr>
        <w:tc>
          <w:tcPr>
            <w:tcW w:type="dxa" w:w="3024"/>
            <w:shd w:fill="F2F2F2" w:val="clear"/>
          </w:tcPr>
          <w:p>
            <w:pPr>
              <w:spacing w:after="160" w:line="360" w:lineRule="auto"/>
              <w:jc w:val="center"/>
              <w:bidi w:val="1"/>
            </w:pPr>
            <w:r/>
            <w:r>
              <w:rPr>
                <w:rFonts w:ascii="Calibri" w:hAnsi="Calibri" w:cs="Calibri" w:eastAsia="Calibri"/>
                <w:b w:val="0"/>
                <w:i w:val="0"/>
                <w:sz w:val="20"/>
                <w:rtl/>
                <w:cs/>
              </w:rPr>
              <w:t>30</w:t>
            </w:r>
          </w:p>
        </w:tc>
        <w:tc>
          <w:tcPr>
            <w:tcW w:type="dxa" w:w="3024"/>
            <w:shd w:fill="F2F2F2" w:val="clear"/>
          </w:tcPr>
          <w:p>
            <w:pPr>
              <w:spacing w:after="160" w:line="360" w:lineRule="auto"/>
              <w:jc w:val="center"/>
              <w:bidi w:val="1"/>
            </w:pPr>
            <w:r/>
            <w:r>
              <w:rPr>
                <w:rFonts w:ascii="Calibri" w:hAnsi="Calibri" w:cs="Calibri" w:eastAsia="Calibri"/>
                <w:b w:val="0"/>
                <w:i w:val="0"/>
                <w:sz w:val="20"/>
                <w:rtl/>
                <w:cs/>
              </w:rPr>
              <w:t>94.0%</w:t>
            </w:r>
          </w:p>
        </w:tc>
        <w:tc>
          <w:tcPr>
            <w:tcW w:type="dxa" w:w="3024"/>
            <w:shd w:fill="F2F2F2" w:val="clear"/>
          </w:tcPr>
          <w:p>
            <w:pPr>
              <w:spacing w:after="160" w:line="360" w:lineRule="auto"/>
              <w:jc w:val="center"/>
              <w:bidi w:val="1"/>
            </w:pPr>
            <w:r/>
            <w:r>
              <w:rPr>
                <w:rFonts w:ascii="Calibri" w:hAnsi="Calibri" w:cs="Calibri" w:eastAsia="Calibri"/>
                <w:b w:val="0"/>
                <w:i w:val="0"/>
                <w:sz w:val="20"/>
                <w:rtl/>
                <w:cs/>
              </w:rPr>
              <w:t>97.5%</w:t>
            </w:r>
          </w:p>
        </w:tc>
      </w:tr>
    </w:tbl>
    <w:p/>
    <w:p>
      <w:pPr>
        <w:spacing w:after="160" w:line="360" w:lineRule="auto" w:before="0"/>
        <w:ind w:firstLine="283"/>
        <w:jc w:val="right"/>
        <w:bidi w:val="1"/>
      </w:pPr>
      <w:r>
        <w:rPr>
          <w:rFonts w:ascii="Calibri" w:hAnsi="Calibri" w:cs="Calibri" w:eastAsia="Calibri"/>
          <w:b w:val="0"/>
          <w:i w:val="0"/>
          <w:sz w:val="24"/>
          <w:rtl/>
          <w:cs/>
        </w:rPr>
        <w:t>در کد عمومی، bootstrap_ci_paired(..., method="studentized") بوت‌استرپ percentile-t را اختیاری می‌دهد؛ پیش‌فرض همچنان BCa است تا مصنوعات منتشرشده بی‌تغییر بمانند. حفظ پیش‌فرض، کم‌پوششی آن را برطرف نمی‌کند؛ نام روش و تنظیمات باید همراه هر نتیجه ثبت شوند.</w:t>
      </w:r>
    </w:p>
    <w:p>
      <w:pPr>
        <w:spacing w:after="200" w:line="360" w:lineRule="auto" w:before="200"/>
        <w:jc w:val="right"/>
        <w:bidi w:val="1"/>
      </w:pPr>
      <w:r>
        <w:rPr>
          <w:rFonts w:ascii="Calibri" w:hAnsi="Calibri" w:cs="Calibri" w:eastAsia="Calibri"/>
          <w:b/>
          <w:i w:val="0"/>
          <w:sz w:val="26"/>
          <w:rtl/>
          <w:cs/>
        </w:rPr>
        <w:t>۳-۳. آزمونی که «دقیق» نام داشت ولی برای n&gt;۲۰ دقیق نبود</w:t>
      </w:r>
    </w:p>
    <w:p>
      <w:pPr>
        <w:spacing w:after="160" w:line="360" w:lineRule="auto" w:before="0"/>
        <w:ind w:firstLine="283"/>
        <w:jc w:val="right"/>
        <w:bidi w:val="1"/>
      </w:pPr>
      <w:r>
        <w:rPr>
          <w:rFonts w:ascii="Calibri" w:hAnsi="Calibri" w:cs="Calibri" w:eastAsia="Calibri"/>
          <w:b w:val="0"/>
          <w:i w:val="0"/>
          <w:sz w:val="24"/>
          <w:rtl/>
          <w:cs/>
        </w:rPr>
        <w:t>تابع exact_sign_flip_permutation_p در کد عمومی برای n≤۲۰ تمام الگوهای علامت را می‌شمارد و برای n&gt;۲۰ از ۲۰٬۰۰۰ قرعهٔ مونت‌کارلو با کف (1+extreme)/(1+draws) استفاده می‌کند. همهٔ کنتراست‌های منتشرشدهٔ HE01 با n=۳۰ از همین مسیر پیش‌فرض می‌گذرند.</w:t>
      </w:r>
    </w:p>
    <w:p>
      <w:pPr>
        <w:spacing w:after="80" w:line="360" w:lineRule="auto" w:before="0"/>
        <w:jc w:val="right"/>
        <w:bidi w:val="1"/>
      </w:pPr>
      <w:r>
        <w:rPr>
          <w:rFonts w:ascii="Calibri" w:hAnsi="Calibri" w:cs="Calibri" w:eastAsia="Calibri"/>
          <w:b w:val="0"/>
          <w:i/>
          <w:sz w:val="22"/>
          <w:rtl/>
          <w:cs/>
        </w:rPr>
        <w:t>جدول ۲. مقدار p برای کنتراست اصلی؛ پیش‌فرض عوض نشده است.</w:t>
      </w:r>
    </w:p>
    <w:tbl>
      <w:tblPr>
        <w:tblStyle w:val="TableGrid"/>
        <w:tblW w:type="auto" w:w="0"/>
        <w:jc w:val="center"/>
        <w:tblLook w:firstColumn="1" w:firstRow="1" w:lastColumn="0" w:lastRow="0" w:noHBand="0" w:noVBand="1" w:val="04A0"/>
      </w:tblPr>
      <w:tblGrid>
        <w:gridCol w:w="4536"/>
        <w:gridCol w:w="4536"/>
      </w:tblGrid>
      <w:tr>
        <w:tc>
          <w:tcPr>
            <w:tcW w:type="dxa" w:w="4536"/>
            <w:shd w:fill="1F4E79" w:val="clear"/>
          </w:tcPr>
          <w:p>
            <w:pPr>
              <w:spacing w:after="160" w:line="360" w:lineRule="auto"/>
              <w:jc w:val="center"/>
              <w:bidi w:val="1"/>
            </w:pPr>
            <w:r>
              <w:rPr>
                <w:color w:val="FFFFFF"/>
              </w:rPr>
            </w:r>
            <w:r>
              <w:rPr>
                <w:rFonts w:ascii="Calibri" w:hAnsi="Calibri" w:cs="Calibri" w:eastAsia="Calibri"/>
                <w:b/>
                <w:i w:val="0"/>
                <w:color w:val="FFFFFF"/>
                <w:sz w:val="20"/>
                <w:rtl/>
                <w:cs/>
              </w:rPr>
              <w:t>روش</w:t>
            </w:r>
          </w:p>
        </w:tc>
        <w:tc>
          <w:tcPr>
            <w:tcW w:type="dxa" w:w="4536"/>
            <w:shd w:fill="1F4E79" w:val="clear"/>
          </w:tcPr>
          <w:p>
            <w:pPr>
              <w:spacing w:after="160" w:line="360" w:lineRule="auto"/>
              <w:jc w:val="center"/>
              <w:bidi w:val="1"/>
            </w:pPr>
            <w:r>
              <w:rPr>
                <w:color w:val="FFFFFF"/>
              </w:rPr>
            </w:r>
            <w:r>
              <w:rPr>
                <w:rFonts w:ascii="Calibri" w:hAnsi="Calibri" w:cs="Calibri" w:eastAsia="Calibri"/>
                <w:b/>
                <w:i w:val="0"/>
                <w:color w:val="FFFFFF"/>
                <w:sz w:val="20"/>
                <w:rtl/>
                <w:cs/>
              </w:rPr>
              <w:t>مقدار p</w:t>
            </w:r>
          </w:p>
        </w:tc>
      </w:tr>
      <w:tr>
        <w:tc>
          <w:tcPr>
            <w:tcW w:type="dxa" w:w="4536"/>
          </w:tcPr>
          <w:p>
            <w:pPr>
              <w:spacing w:after="160" w:line="360" w:lineRule="auto"/>
              <w:jc w:val="center"/>
              <w:bidi w:val="1"/>
            </w:pPr>
            <w:r/>
            <w:r>
              <w:rPr>
                <w:rFonts w:ascii="Calibri" w:hAnsi="Calibri" w:cs="Calibri" w:eastAsia="Calibri"/>
                <w:b w:val="0"/>
                <w:i w:val="0"/>
                <w:sz w:val="20"/>
                <w:rtl/>
                <w:cs/>
              </w:rPr>
              <w:t>مونت‌کارلو، ۲۰٬۰۰۰ قرعه (ذخیره‌شده در v7)</w:t>
            </w:r>
          </w:p>
        </w:tc>
        <w:tc>
          <w:tcPr>
            <w:tcW w:type="dxa" w:w="4536"/>
          </w:tcPr>
          <w:p>
            <w:pPr>
              <w:spacing w:after="160" w:line="360" w:lineRule="auto"/>
              <w:jc w:val="center"/>
              <w:bidi w:val="1"/>
            </w:pPr>
            <w:r/>
            <w:r>
              <w:rPr>
                <w:rFonts w:ascii="Calibri" w:hAnsi="Calibri" w:cs="Calibri" w:eastAsia="Calibri"/>
                <w:b w:val="0"/>
                <w:i w:val="0"/>
                <w:sz w:val="20"/>
                <w:rtl/>
                <w:cs/>
              </w:rPr>
              <w:t>4.99975×10⁻⁵</w:t>
            </w:r>
          </w:p>
        </w:tc>
      </w:tr>
      <w:tr>
        <w:tc>
          <w:tcPr>
            <w:tcW w:type="dxa" w:w="4536"/>
            <w:shd w:fill="F2F2F2" w:val="clear"/>
          </w:tcPr>
          <w:p>
            <w:pPr>
              <w:spacing w:after="160" w:line="360" w:lineRule="auto"/>
              <w:jc w:val="center"/>
              <w:bidi w:val="1"/>
            </w:pPr>
            <w:r/>
            <w:r>
              <w:rPr>
                <w:rFonts w:ascii="Calibri" w:hAnsi="Calibri" w:cs="Calibri" w:eastAsia="Calibri"/>
                <w:b w:val="0"/>
                <w:i w:val="0"/>
                <w:sz w:val="20"/>
                <w:rtl/>
                <w:cs/>
              </w:rPr>
              <w:t>شمارش کامل، ۲/۲³⁰ (اختیاری)</w:t>
            </w:r>
          </w:p>
        </w:tc>
        <w:tc>
          <w:tcPr>
            <w:tcW w:type="dxa" w:w="4536"/>
            <w:shd w:fill="F2F2F2" w:val="clear"/>
          </w:tcPr>
          <w:p>
            <w:pPr>
              <w:spacing w:after="160" w:line="360" w:lineRule="auto"/>
              <w:jc w:val="center"/>
              <w:bidi w:val="1"/>
            </w:pPr>
            <w:r/>
            <w:r>
              <w:rPr>
                <w:rFonts w:ascii="Calibri" w:hAnsi="Calibri" w:cs="Calibri" w:eastAsia="Calibri"/>
                <w:b w:val="0"/>
                <w:i w:val="0"/>
                <w:sz w:val="20"/>
                <w:rtl/>
                <w:cs/>
              </w:rPr>
              <w:t>1.86265×10⁻⁹</w:t>
            </w:r>
          </w:p>
        </w:tc>
      </w:tr>
      <w:tr>
        <w:tc>
          <w:tcPr>
            <w:tcW w:type="dxa" w:w="4536"/>
          </w:tcPr>
          <w:p>
            <w:pPr>
              <w:spacing w:after="160" w:line="360" w:lineRule="auto"/>
              <w:jc w:val="center"/>
              <w:bidi w:val="1"/>
            </w:pPr>
            <w:r/>
            <w:r>
              <w:rPr>
                <w:rFonts w:ascii="Calibri" w:hAnsi="Calibri" w:cs="Calibri" w:eastAsia="Calibri"/>
                <w:b w:val="0"/>
                <w:i w:val="0"/>
                <w:sz w:val="20"/>
                <w:rtl/>
                <w:cs/>
              </w:rPr>
              <w:t>نسبت مقدار پیش‌فرض به دقیق</w:t>
            </w:r>
          </w:p>
        </w:tc>
        <w:tc>
          <w:tcPr>
            <w:tcW w:type="dxa" w:w="4536"/>
          </w:tcPr>
          <w:p>
            <w:pPr>
              <w:spacing w:after="160" w:line="360" w:lineRule="auto"/>
              <w:jc w:val="center"/>
              <w:bidi w:val="1"/>
            </w:pPr>
            <w:r/>
            <w:r>
              <w:rPr>
                <w:rFonts w:ascii="Calibri" w:hAnsi="Calibri" w:cs="Calibri" w:eastAsia="Calibri"/>
                <w:b w:val="0"/>
                <w:i w:val="0"/>
                <w:sz w:val="20"/>
                <w:rtl/>
                <w:cs/>
              </w:rPr>
              <w:t>≈26٬842</w:t>
            </w:r>
          </w:p>
        </w:tc>
      </w:tr>
    </w:tbl>
    <w:p/>
    <w:p>
      <w:pPr>
        <w:spacing w:after="160" w:line="360" w:lineRule="auto" w:before="0"/>
        <w:ind w:firstLine="283"/>
        <w:jc w:val="right"/>
        <w:bidi w:val="1"/>
      </w:pPr>
      <w:r>
        <w:rPr>
          <w:rFonts w:ascii="Calibri" w:hAnsi="Calibri" w:cs="Calibri" w:eastAsia="Calibri"/>
          <w:b w:val="0"/>
          <w:i w:val="0"/>
          <w:sz w:val="24"/>
          <w:rtl/>
          <w:cs/>
        </w:rPr>
        <w:t>sign_flip_permutation_detail روش و کف سانسور را همراه p برمی‌گرداند. meet_in_the_middle_sign_flip_p شمارش دقیق n≤۴۰ را اختیاری می‌دهد. این مقاله اعداد results_v7.json را با شمارش دقیق بازنویسی نمی‌کند.</w:t>
      </w:r>
    </w:p>
    <w:p>
      <w:pPr>
        <w:spacing w:after="200" w:line="360" w:lineRule="auto" w:before="200"/>
        <w:jc w:val="right"/>
        <w:bidi w:val="1"/>
      </w:pPr>
      <w:r>
        <w:rPr>
          <w:rFonts w:ascii="Calibri" w:hAnsi="Calibri" w:cs="Calibri" w:eastAsia="Calibri"/>
          <w:b/>
          <w:i w:val="0"/>
          <w:sz w:val="26"/>
          <w:rtl/>
          <w:cs/>
        </w:rPr>
        <w:t>۳-۴. حسابرسی که واژگان مصنوع اصلی را نمی‌خواند</w:t>
      </w:r>
    </w:p>
    <w:p>
      <w:pPr>
        <w:spacing w:after="160" w:line="360" w:lineRule="auto" w:before="0"/>
        <w:ind w:firstLine="283"/>
        <w:jc w:val="right"/>
        <w:bidi w:val="1"/>
      </w:pPr>
      <w:r>
        <w:rPr>
          <w:rFonts w:ascii="Calibri" w:hAnsi="Calibri" w:cs="Calibri" w:eastAsia="Calibri"/>
          <w:b w:val="0"/>
          <w:i w:val="0"/>
          <w:sz w:val="24"/>
          <w:rtl/>
          <w:cs/>
        </w:rPr>
        <w:t>برچسب‌های auxiliary_control، sensitivity_negative_control و positive_control در مصنوع v7 با واژگان مجاز طرح‌واره یکی نبودند. اصلاح در لایهٔ آداپتور است. هیچ‌یک از این بندها مجوز برچسب SaMD یا asme_vv40_passed نیست.</w:t>
      </w:r>
    </w:p>
    <w:p>
      <w:pPr>
        <w:spacing w:after="200" w:line="360" w:lineRule="auto" w:before="280"/>
        <w:jc w:val="right"/>
        <w:bidi w:val="1"/>
      </w:pPr>
      <w:r>
        <w:rPr>
          <w:rFonts w:ascii="Calibri" w:hAnsi="Calibri" w:cs="Calibri" w:eastAsia="Calibri"/>
          <w:b/>
          <w:i w:val="0"/>
          <w:sz w:val="32"/>
          <w:rtl/>
          <w:cs/>
        </w:rPr>
        <w:t>۴. سنجش داخلی حسابرس و اختلاف سطوح</w:t>
      </w:r>
    </w:p>
    <w:p>
      <w:pPr>
        <w:spacing w:after="80" w:line="360" w:lineRule="auto" w:before="0"/>
        <w:jc w:val="right"/>
        <w:bidi w:val="1"/>
      </w:pPr>
      <w:r>
        <w:rPr>
          <w:rFonts w:ascii="Calibri" w:hAnsi="Calibri" w:cs="Calibri" w:eastAsia="Calibri"/>
          <w:b w:val="0"/>
          <w:i/>
          <w:sz w:val="22"/>
          <w:rtl/>
          <w:cs/>
        </w:rPr>
        <w:t>جدول ۳. سطوح و برچسب‌های گزارش‌شده در نه بستهٔ آزمون (فایل 09_results/ladder_validation.json در درخت نیست).</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F4E79" w:val="clear"/>
          </w:tcPr>
          <w:p>
            <w:pPr>
              <w:spacing w:after="160" w:line="360" w:lineRule="auto"/>
              <w:jc w:val="center"/>
              <w:bidi w:val="1"/>
            </w:pPr>
            <w:r>
              <w:rPr>
                <w:color w:val="FFFFFF"/>
              </w:rPr>
            </w:r>
            <w:r>
              <w:rPr>
                <w:rFonts w:ascii="Calibri" w:hAnsi="Calibri" w:cs="Calibri" w:eastAsia="Calibri"/>
                <w:b/>
                <w:i w:val="0"/>
                <w:color w:val="FFFFFF"/>
                <w:sz w:val="20"/>
                <w:rtl/>
                <w:cs/>
              </w:rPr>
              <w:t>بستهٔ آزمون</w:t>
            </w:r>
          </w:p>
        </w:tc>
        <w:tc>
          <w:tcPr>
            <w:tcW w:type="dxa" w:w="3024"/>
            <w:shd w:fill="1F4E79" w:val="clear"/>
          </w:tcPr>
          <w:p>
            <w:pPr>
              <w:spacing w:after="160" w:line="360" w:lineRule="auto"/>
              <w:jc w:val="center"/>
              <w:bidi w:val="1"/>
            </w:pPr>
            <w:r>
              <w:rPr>
                <w:color w:val="FFFFFF"/>
              </w:rPr>
            </w:r>
            <w:r>
              <w:rPr>
                <w:rFonts w:ascii="Calibri" w:hAnsi="Calibri" w:cs="Calibri" w:eastAsia="Calibri"/>
                <w:b/>
                <w:i w:val="0"/>
                <w:color w:val="FFFFFF"/>
                <w:sz w:val="20"/>
                <w:rtl/>
                <w:cs/>
              </w:rPr>
              <w:t>سطح</w:t>
            </w:r>
          </w:p>
        </w:tc>
        <w:tc>
          <w:tcPr>
            <w:tcW w:type="dxa" w:w="3024"/>
            <w:shd w:fill="1F4E79" w:val="clear"/>
          </w:tcPr>
          <w:p>
            <w:pPr>
              <w:spacing w:after="160" w:line="360" w:lineRule="auto"/>
              <w:jc w:val="center"/>
              <w:bidi w:val="1"/>
            </w:pPr>
            <w:r>
              <w:rPr>
                <w:color w:val="FFFFFF"/>
              </w:rPr>
            </w:r>
            <w:r>
              <w:rPr>
                <w:rFonts w:ascii="Calibri" w:hAnsi="Calibri" w:cs="Calibri" w:eastAsia="Calibri"/>
                <w:b/>
                <w:i w:val="0"/>
                <w:color w:val="FFFFFF"/>
                <w:sz w:val="20"/>
                <w:rtl/>
                <w:cs/>
              </w:rPr>
              <w:t>نسبت به انتظار آزمون</w:t>
            </w:r>
          </w:p>
        </w:tc>
      </w:tr>
      <w:tr>
        <w:tc>
          <w:tcPr>
            <w:tcW w:type="dxa" w:w="3024"/>
          </w:tcPr>
          <w:p>
            <w:pPr>
              <w:spacing w:after="160" w:line="360" w:lineRule="auto"/>
              <w:jc w:val="center"/>
              <w:bidi w:val="1"/>
            </w:pPr>
            <w:r/>
            <w:r>
              <w:rPr>
                <w:rFonts w:ascii="Calibri" w:hAnsi="Calibri" w:cs="Calibri" w:eastAsia="Calibri"/>
                <w:b w:val="0"/>
                <w:i w:val="0"/>
                <w:sz w:val="20"/>
                <w:rtl/>
                <w:cs/>
              </w:rPr>
              <w:t>مرجع بدون دستکاری</w:t>
            </w:r>
          </w:p>
        </w:tc>
        <w:tc>
          <w:tcPr>
            <w:tcW w:type="dxa" w:w="3024"/>
          </w:tcPr>
          <w:p>
            <w:pPr>
              <w:spacing w:after="160" w:line="360" w:lineRule="auto"/>
              <w:jc w:val="center"/>
              <w:bidi w:val="1"/>
            </w:pPr>
            <w:r/>
            <w:r>
              <w:rPr>
                <w:rFonts w:ascii="Calibri" w:hAnsi="Calibri" w:cs="Calibri" w:eastAsia="Calibri"/>
                <w:b w:val="0"/>
                <w:i w:val="0"/>
                <w:sz w:val="20"/>
                <w:rtl/>
                <w:cs/>
              </w:rPr>
              <w:t>4</w:t>
            </w:r>
          </w:p>
        </w:tc>
        <w:tc>
          <w:tcPr>
            <w:tcW w:type="dxa" w:w="3024"/>
          </w:tcPr>
          <w:p>
            <w:pPr>
              <w:spacing w:after="160" w:line="360" w:lineRule="auto"/>
              <w:jc w:val="center"/>
              <w:bidi w:val="1"/>
            </w:pPr>
            <w:r/>
            <w:r>
              <w:rPr>
                <w:rFonts w:ascii="Calibri" w:hAnsi="Calibri" w:cs="Calibri" w:eastAsia="Calibri"/>
                <w:b w:val="0"/>
                <w:i w:val="0"/>
                <w:sz w:val="20"/>
                <w:rtl/>
                <w:cs/>
              </w:rPr>
              <w:t>مرجع</w:t>
            </w:r>
          </w:p>
        </w:tc>
      </w:tr>
      <w:tr>
        <w:tc>
          <w:tcPr>
            <w:tcW w:type="dxa" w:w="3024"/>
            <w:shd w:fill="F2F2F2" w:val="clear"/>
          </w:tcPr>
          <w:p>
            <w:pPr>
              <w:spacing w:after="160" w:line="360" w:lineRule="auto"/>
              <w:jc w:val="center"/>
              <w:bidi w:val="1"/>
            </w:pPr>
            <w:r/>
            <w:r>
              <w:rPr>
                <w:rFonts w:ascii="Calibri" w:hAnsi="Calibri" w:cs="Calibri" w:eastAsia="Calibri"/>
                <w:b w:val="0"/>
                <w:i w:val="0"/>
                <w:sz w:val="20"/>
                <w:rtl/>
                <w:cs/>
              </w:rPr>
              <w:t>خروجی بازوهای یکسان</w:t>
            </w:r>
          </w:p>
        </w:tc>
        <w:tc>
          <w:tcPr>
            <w:tcW w:type="dxa" w:w="3024"/>
            <w:shd w:fill="F2F2F2" w:val="clear"/>
          </w:tcPr>
          <w:p>
            <w:pPr>
              <w:spacing w:after="160" w:line="360" w:lineRule="auto"/>
              <w:jc w:val="center"/>
              <w:bidi w:val="1"/>
            </w:pPr>
            <w:r/>
            <w:r>
              <w:rPr>
                <w:rFonts w:ascii="Calibri" w:hAnsi="Calibri" w:cs="Calibri" w:eastAsia="Calibri"/>
                <w:b w:val="0"/>
                <w:i w:val="0"/>
                <w:sz w:val="20"/>
                <w:rtl/>
                <w:cs/>
              </w:rPr>
              <w:t>1</w:t>
            </w:r>
          </w:p>
        </w:tc>
        <w:tc>
          <w:tcPr>
            <w:tcW w:type="dxa" w:w="3024"/>
            <w:shd w:fill="F2F2F2" w:val="clear"/>
          </w:tcPr>
          <w:p>
            <w:pPr>
              <w:spacing w:after="160" w:line="360" w:lineRule="auto"/>
              <w:jc w:val="center"/>
              <w:bidi w:val="1"/>
            </w:pPr>
            <w:r/>
            <w:r>
              <w:rPr>
                <w:rFonts w:ascii="Calibri" w:hAnsi="Calibri" w:cs="Calibri" w:eastAsia="Calibri"/>
                <w:b w:val="0"/>
                <w:i w:val="0"/>
                <w:sz w:val="20"/>
                <w:rtl/>
                <w:cs/>
              </w:rPr>
              <w:t>مطابق انتظار</w:t>
            </w:r>
          </w:p>
        </w:tc>
      </w:tr>
      <w:tr>
        <w:tc>
          <w:tcPr>
            <w:tcW w:type="dxa" w:w="3024"/>
          </w:tcPr>
          <w:p>
            <w:pPr>
              <w:spacing w:after="160" w:line="360" w:lineRule="auto"/>
              <w:jc w:val="center"/>
              <w:bidi w:val="1"/>
            </w:pPr>
            <w:r/>
            <w:r>
              <w:rPr>
                <w:rFonts w:ascii="Calibri" w:hAnsi="Calibri" w:cs="Calibri" w:eastAsia="Calibri"/>
                <w:b w:val="0"/>
                <w:i w:val="0"/>
                <w:sz w:val="20"/>
                <w:rtl/>
                <w:cs/>
              </w:rPr>
              <w:t>بازهٔ با عرض صفر</w:t>
            </w:r>
          </w:p>
        </w:tc>
        <w:tc>
          <w:tcPr>
            <w:tcW w:type="dxa" w:w="3024"/>
          </w:tcPr>
          <w:p>
            <w:pPr>
              <w:spacing w:after="160" w:line="360" w:lineRule="auto"/>
              <w:jc w:val="center"/>
              <w:bidi w:val="1"/>
            </w:pPr>
            <w:r/>
            <w:r>
              <w:rPr>
                <w:rFonts w:ascii="Calibri" w:hAnsi="Calibri" w:cs="Calibri" w:eastAsia="Calibri"/>
                <w:b w:val="0"/>
                <w:i w:val="0"/>
                <w:sz w:val="20"/>
                <w:rtl/>
                <w:cs/>
              </w:rPr>
              <w:t>1</w:t>
            </w:r>
          </w:p>
        </w:tc>
        <w:tc>
          <w:tcPr>
            <w:tcW w:type="dxa" w:w="3024"/>
          </w:tcPr>
          <w:p>
            <w:pPr>
              <w:spacing w:after="160" w:line="360" w:lineRule="auto"/>
              <w:jc w:val="center"/>
              <w:bidi w:val="1"/>
            </w:pPr>
            <w:r/>
            <w:r>
              <w:rPr>
                <w:rFonts w:ascii="Calibri" w:hAnsi="Calibri" w:cs="Calibri" w:eastAsia="Calibri"/>
                <w:b w:val="0"/>
                <w:i w:val="0"/>
                <w:sz w:val="20"/>
                <w:rtl/>
                <w:cs/>
              </w:rPr>
              <w:t>مطابق انتظار</w:t>
            </w:r>
          </w:p>
        </w:tc>
      </w:tr>
      <w:tr>
        <w:tc>
          <w:tcPr>
            <w:tcW w:type="dxa" w:w="3024"/>
            <w:shd w:fill="F2F2F2" w:val="clear"/>
          </w:tcPr>
          <w:p>
            <w:pPr>
              <w:spacing w:after="160" w:line="360" w:lineRule="auto"/>
              <w:jc w:val="center"/>
              <w:bidi w:val="1"/>
            </w:pPr>
            <w:r/>
            <w:r>
              <w:rPr>
                <w:rFonts w:ascii="Calibri" w:hAnsi="Calibri" w:cs="Calibri" w:eastAsia="Calibri"/>
                <w:b w:val="0"/>
                <w:i w:val="0"/>
                <w:sz w:val="20"/>
                <w:rtl/>
                <w:cs/>
              </w:rPr>
              <w:t>نبود مقایسهٔ جفتی</w:t>
            </w:r>
          </w:p>
        </w:tc>
        <w:tc>
          <w:tcPr>
            <w:tcW w:type="dxa" w:w="3024"/>
            <w:shd w:fill="F2F2F2" w:val="clear"/>
          </w:tcPr>
          <w:p>
            <w:pPr>
              <w:spacing w:after="160" w:line="360" w:lineRule="auto"/>
              <w:jc w:val="center"/>
              <w:bidi w:val="1"/>
            </w:pPr>
            <w:r/>
            <w:r>
              <w:rPr>
                <w:rFonts w:ascii="Calibri" w:hAnsi="Calibri" w:cs="Calibri" w:eastAsia="Calibri"/>
                <w:b w:val="0"/>
                <w:i w:val="0"/>
                <w:sz w:val="20"/>
                <w:rtl/>
                <w:cs/>
              </w:rPr>
              <w:t>1</w:t>
            </w:r>
          </w:p>
        </w:tc>
        <w:tc>
          <w:tcPr>
            <w:tcW w:type="dxa" w:w="3024"/>
            <w:shd w:fill="F2F2F2" w:val="clear"/>
          </w:tcPr>
          <w:p>
            <w:pPr>
              <w:spacing w:after="160" w:line="360" w:lineRule="auto"/>
              <w:jc w:val="center"/>
              <w:bidi w:val="1"/>
            </w:pPr>
            <w:r/>
            <w:r>
              <w:rPr>
                <w:rFonts w:ascii="Calibri" w:hAnsi="Calibri" w:cs="Calibri" w:eastAsia="Calibri"/>
                <w:b w:val="0"/>
                <w:i w:val="0"/>
                <w:sz w:val="20"/>
                <w:rtl/>
                <w:cs/>
              </w:rPr>
              <w:t>مطابق انتظار</w:t>
            </w:r>
          </w:p>
        </w:tc>
      </w:tr>
      <w:tr>
        <w:tc>
          <w:tcPr>
            <w:tcW w:type="dxa" w:w="3024"/>
          </w:tcPr>
          <w:p>
            <w:pPr>
              <w:spacing w:after="160" w:line="360" w:lineRule="auto"/>
              <w:jc w:val="center"/>
              <w:bidi w:val="1"/>
            </w:pPr>
            <w:r/>
            <w:r>
              <w:rPr>
                <w:rFonts w:ascii="Calibri" w:hAnsi="Calibri" w:cs="Calibri" w:eastAsia="Calibri"/>
                <w:b w:val="0"/>
                <w:i w:val="0"/>
                <w:sz w:val="20"/>
                <w:rtl/>
                <w:cs/>
              </w:rPr>
              <w:t>حذف شواهد بازپخش</w:t>
            </w:r>
          </w:p>
        </w:tc>
        <w:tc>
          <w:tcPr>
            <w:tcW w:type="dxa" w:w="3024"/>
          </w:tcPr>
          <w:p>
            <w:pPr>
              <w:spacing w:after="160" w:line="360" w:lineRule="auto"/>
              <w:jc w:val="center"/>
              <w:bidi w:val="1"/>
            </w:pPr>
            <w:r/>
            <w:r>
              <w:rPr>
                <w:rFonts w:ascii="Calibri" w:hAnsi="Calibri" w:cs="Calibri" w:eastAsia="Calibri"/>
                <w:b w:val="0"/>
                <w:i w:val="0"/>
                <w:sz w:val="20"/>
                <w:rtl/>
                <w:cs/>
              </w:rPr>
              <w:t>2</w:t>
            </w:r>
          </w:p>
        </w:tc>
        <w:tc>
          <w:tcPr>
            <w:tcW w:type="dxa" w:w="3024"/>
          </w:tcPr>
          <w:p>
            <w:pPr>
              <w:spacing w:after="160" w:line="360" w:lineRule="auto"/>
              <w:jc w:val="center"/>
              <w:bidi w:val="1"/>
            </w:pPr>
            <w:r/>
            <w:r>
              <w:rPr>
                <w:rFonts w:ascii="Calibri" w:hAnsi="Calibri" w:cs="Calibri" w:eastAsia="Calibri"/>
                <w:b w:val="0"/>
                <w:i w:val="0"/>
                <w:sz w:val="20"/>
                <w:rtl/>
                <w:cs/>
              </w:rPr>
              <w:t>مطابق انتظار</w:t>
            </w:r>
          </w:p>
        </w:tc>
      </w:tr>
      <w:tr>
        <w:tc>
          <w:tcPr>
            <w:tcW w:type="dxa" w:w="3024"/>
            <w:shd w:fill="F2F2F2" w:val="clear"/>
          </w:tcPr>
          <w:p>
            <w:pPr>
              <w:spacing w:after="160" w:line="360" w:lineRule="auto"/>
              <w:jc w:val="center"/>
              <w:bidi w:val="1"/>
            </w:pPr>
            <w:r/>
            <w:r>
              <w:rPr>
                <w:rFonts w:ascii="Calibri" w:hAnsi="Calibri" w:cs="Calibri" w:eastAsia="Calibri"/>
                <w:b w:val="0"/>
                <w:i w:val="0"/>
                <w:sz w:val="20"/>
                <w:rtl/>
                <w:cs/>
              </w:rPr>
              <w:t>محدودیت‌های خالی</w:t>
            </w:r>
          </w:p>
        </w:tc>
        <w:tc>
          <w:tcPr>
            <w:tcW w:type="dxa" w:w="3024"/>
            <w:shd w:fill="F2F2F2" w:val="clear"/>
          </w:tcPr>
          <w:p>
            <w:pPr>
              <w:spacing w:after="160" w:line="360" w:lineRule="auto"/>
              <w:jc w:val="center"/>
              <w:bidi w:val="1"/>
            </w:pPr>
            <w:r/>
            <w:r>
              <w:rPr>
                <w:rFonts w:ascii="Calibri" w:hAnsi="Calibri" w:cs="Calibri" w:eastAsia="Calibri"/>
                <w:b w:val="0"/>
                <w:i w:val="0"/>
                <w:sz w:val="20"/>
                <w:rtl/>
                <w:cs/>
              </w:rPr>
              <w:t>2</w:t>
            </w:r>
          </w:p>
        </w:tc>
        <w:tc>
          <w:tcPr>
            <w:tcW w:type="dxa" w:w="3024"/>
            <w:shd w:fill="F2F2F2" w:val="clear"/>
          </w:tcPr>
          <w:p>
            <w:pPr>
              <w:spacing w:after="160" w:line="360" w:lineRule="auto"/>
              <w:jc w:val="center"/>
              <w:bidi w:val="1"/>
            </w:pPr>
            <w:r/>
            <w:r>
              <w:rPr>
                <w:rFonts w:ascii="Calibri" w:hAnsi="Calibri" w:cs="Calibri" w:eastAsia="Calibri"/>
                <w:b w:val="0"/>
                <w:i w:val="0"/>
                <w:sz w:val="20"/>
                <w:rtl/>
                <w:cs/>
              </w:rPr>
              <w:t>مطابق انتظار</w:t>
            </w:r>
          </w:p>
        </w:tc>
      </w:tr>
      <w:tr>
        <w:tc>
          <w:tcPr>
            <w:tcW w:type="dxa" w:w="3024"/>
          </w:tcPr>
          <w:p>
            <w:pPr>
              <w:spacing w:after="160" w:line="360" w:lineRule="auto"/>
              <w:jc w:val="center"/>
              <w:bidi w:val="1"/>
            </w:pPr>
            <w:r/>
            <w:r>
              <w:rPr>
                <w:rFonts w:ascii="Calibri" w:hAnsi="Calibri" w:cs="Calibri" w:eastAsia="Calibri"/>
                <w:b w:val="0"/>
                <w:i w:val="0"/>
                <w:sz w:val="20"/>
                <w:rtl/>
                <w:cs/>
              </w:rPr>
              <w:t>دیجست جای‌نگهدار</w:t>
            </w:r>
          </w:p>
        </w:tc>
        <w:tc>
          <w:tcPr>
            <w:tcW w:type="dxa" w:w="3024"/>
          </w:tcPr>
          <w:p>
            <w:pPr>
              <w:spacing w:after="160" w:line="360" w:lineRule="auto"/>
              <w:jc w:val="center"/>
              <w:bidi w:val="1"/>
            </w:pPr>
            <w:r/>
            <w:r>
              <w:rPr>
                <w:rFonts w:ascii="Calibri" w:hAnsi="Calibri" w:cs="Calibri" w:eastAsia="Calibri"/>
                <w:b w:val="0"/>
                <w:i w:val="0"/>
                <w:sz w:val="20"/>
                <w:rtl/>
                <w:cs/>
              </w:rPr>
              <w:t>4</w:t>
            </w:r>
          </w:p>
        </w:tc>
        <w:tc>
          <w:tcPr>
            <w:tcW w:type="dxa" w:w="3024"/>
          </w:tcPr>
          <w:p>
            <w:pPr>
              <w:spacing w:after="160" w:line="360" w:lineRule="auto"/>
              <w:jc w:val="center"/>
              <w:bidi w:val="1"/>
            </w:pPr>
            <w:r/>
            <w:r>
              <w:rPr>
                <w:rFonts w:ascii="Calibri" w:hAnsi="Calibri" w:cs="Calibri" w:eastAsia="Calibri"/>
                <w:b w:val="0"/>
                <w:i w:val="0"/>
                <w:sz w:val="20"/>
                <w:rtl/>
                <w:cs/>
              </w:rPr>
              <w:t>عدم‌انطباق</w:t>
            </w:r>
          </w:p>
        </w:tc>
      </w:tr>
      <w:tr>
        <w:tc>
          <w:tcPr>
            <w:tcW w:type="dxa" w:w="3024"/>
            <w:shd w:fill="F2F2F2" w:val="clear"/>
          </w:tcPr>
          <w:p>
            <w:pPr>
              <w:spacing w:after="160" w:line="360" w:lineRule="auto"/>
              <w:jc w:val="center"/>
              <w:bidi w:val="1"/>
            </w:pPr>
            <w:r/>
            <w:r>
              <w:rPr>
                <w:rFonts w:ascii="Calibri" w:hAnsi="Calibri" w:cs="Calibri" w:eastAsia="Calibri"/>
                <w:b w:val="0"/>
                <w:i w:val="0"/>
                <w:sz w:val="20"/>
                <w:rtl/>
                <w:cs/>
              </w:rPr>
              <w:t>فقط سه بذر</w:t>
            </w:r>
          </w:p>
        </w:tc>
        <w:tc>
          <w:tcPr>
            <w:tcW w:type="dxa" w:w="3024"/>
            <w:shd w:fill="F2F2F2" w:val="clear"/>
          </w:tcPr>
          <w:p>
            <w:pPr>
              <w:spacing w:after="160" w:line="360" w:lineRule="auto"/>
              <w:jc w:val="center"/>
              <w:bidi w:val="1"/>
            </w:pPr>
            <w:r/>
            <w:r>
              <w:rPr>
                <w:rFonts w:ascii="Calibri" w:hAnsi="Calibri" w:cs="Calibri" w:eastAsia="Calibri"/>
                <w:b w:val="0"/>
                <w:i w:val="0"/>
                <w:sz w:val="20"/>
                <w:rtl/>
                <w:cs/>
              </w:rPr>
              <w:t>3</w:t>
            </w:r>
          </w:p>
        </w:tc>
        <w:tc>
          <w:tcPr>
            <w:tcW w:type="dxa" w:w="3024"/>
            <w:shd w:fill="F2F2F2" w:val="clear"/>
          </w:tcPr>
          <w:p>
            <w:pPr>
              <w:spacing w:after="160" w:line="360" w:lineRule="auto"/>
              <w:jc w:val="center"/>
              <w:bidi w:val="1"/>
            </w:pPr>
            <w:r/>
            <w:r>
              <w:rPr>
                <w:rFonts w:ascii="Calibri" w:hAnsi="Calibri" w:cs="Calibri" w:eastAsia="Calibri"/>
                <w:b w:val="0"/>
                <w:i w:val="0"/>
                <w:sz w:val="20"/>
                <w:rtl/>
                <w:cs/>
              </w:rPr>
              <w:t>نیازمند تعریف</w:t>
            </w:r>
          </w:p>
        </w:tc>
      </w:tr>
      <w:tr>
        <w:tc>
          <w:tcPr>
            <w:tcW w:type="dxa" w:w="3024"/>
          </w:tcPr>
          <w:p>
            <w:pPr>
              <w:spacing w:after="160" w:line="360" w:lineRule="auto"/>
              <w:jc w:val="center"/>
              <w:bidi w:val="1"/>
            </w:pPr>
            <w:r/>
            <w:r>
              <w:rPr>
                <w:rFonts w:ascii="Calibri" w:hAnsi="Calibri" w:cs="Calibri" w:eastAsia="Calibri"/>
                <w:b w:val="0"/>
                <w:i w:val="0"/>
                <w:sz w:val="20"/>
                <w:rtl/>
                <w:cs/>
              </w:rPr>
              <w:t>حذف کنترل منفی تأییدی</w:t>
            </w:r>
          </w:p>
        </w:tc>
        <w:tc>
          <w:tcPr>
            <w:tcW w:type="dxa" w:w="3024"/>
          </w:tcPr>
          <w:p>
            <w:pPr>
              <w:spacing w:after="160" w:line="360" w:lineRule="auto"/>
              <w:jc w:val="center"/>
              <w:bidi w:val="1"/>
            </w:pPr>
            <w:r/>
            <w:r>
              <w:rPr>
                <w:rFonts w:ascii="Calibri" w:hAnsi="Calibri" w:cs="Calibri" w:eastAsia="Calibri"/>
                <w:b w:val="0"/>
                <w:i w:val="0"/>
                <w:sz w:val="20"/>
                <w:rtl/>
                <w:cs/>
              </w:rPr>
              <w:t>4</w:t>
            </w:r>
          </w:p>
        </w:tc>
        <w:tc>
          <w:tcPr>
            <w:tcW w:type="dxa" w:w="3024"/>
          </w:tcPr>
          <w:p>
            <w:pPr>
              <w:spacing w:after="160" w:line="360" w:lineRule="auto"/>
              <w:jc w:val="center"/>
              <w:bidi w:val="1"/>
            </w:pPr>
            <w:r/>
            <w:r>
              <w:rPr>
                <w:rFonts w:ascii="Calibri" w:hAnsi="Calibri" w:cs="Calibri" w:eastAsia="Calibri"/>
                <w:b w:val="0"/>
                <w:i w:val="0"/>
                <w:sz w:val="20"/>
                <w:rtl/>
                <w:cs/>
              </w:rPr>
              <w:t>عدم‌انطباق</w:t>
            </w:r>
          </w:p>
        </w:tc>
      </w:tr>
    </w:tbl>
    <w:p/>
    <w:p>
      <w:pPr>
        <w:spacing w:after="160" w:line="360" w:lineRule="auto" w:before="0"/>
        <w:ind w:firstLine="283"/>
        <w:jc w:val="right"/>
        <w:bidi w:val="1"/>
      </w:pPr>
      <w:r>
        <w:rPr>
          <w:rFonts w:ascii="Calibri" w:hAnsi="Calibri" w:cs="Calibri" w:eastAsia="Calibri"/>
          <w:b w:val="0"/>
          <w:i w:val="0"/>
          <w:sz w:val="24"/>
          <w:rtl/>
          <w:cs/>
        </w:rPr>
        <w:t>پنج بستهٔ دستکاری‌شده با انتظار آزمون منطبق‌اند و سه مورد «پذیرش کاذب» نام‌گذاری شده‌اند. نسبت ۳/۸ یا ۳۷٫۵٪ است؛ بازهٔ ویلسون ۹۵٪ ۱۳٫۷٪ تا ۶۹٫۴٪. پوشش جمعیتی نیست. اگر معیار فقط اعطای سطح ۴ به بستهٔ معیوب باشد: ۲۵٪. بستهٔ مرجع در حسابرس سطح ۴ و در نردبان داخلی سطح ۳ گرفت.</w:t>
      </w:r>
    </w:p>
    <w:p>
      <w:pPr>
        <w:spacing w:after="200" w:line="360" w:lineRule="auto" w:before="280"/>
        <w:jc w:val="right"/>
        <w:bidi w:val="1"/>
      </w:pPr>
      <w:r>
        <w:rPr>
          <w:rFonts w:ascii="Calibri" w:hAnsi="Calibri" w:cs="Calibri" w:eastAsia="Calibri"/>
          <w:b/>
          <w:i w:val="0"/>
          <w:sz w:val="32"/>
          <w:rtl/>
          <w:cs/>
        </w:rPr>
        <w:t>۵. بازتحلیل آزمایش انتقال اطلاعات</w:t>
      </w:r>
    </w:p>
    <w:p>
      <w:pPr>
        <w:spacing w:after="160" w:line="360" w:lineRule="auto" w:before="0"/>
        <w:ind w:firstLine="283"/>
        <w:jc w:val="right"/>
        <w:bidi w:val="1"/>
      </w:pPr>
      <w:r>
        <w:rPr>
          <w:rFonts w:ascii="Calibri" w:hAnsi="Calibri" w:cs="Calibri" w:eastAsia="Calibri"/>
          <w:b w:val="0"/>
          <w:i w:val="0"/>
          <w:sz w:val="24"/>
          <w:rtl/>
          <w:cs/>
        </w:rPr>
        <w:t>آزمایش شامل ۳۰ بذر جفتی از ۱۱ تا ۴۰، جمعیت ۱۶ عامل و ۴۰ گام زمانی است. متغیر پاسخ، میانگین انرژی نهایی گیرندگان با برچسب ATP است؛ این کمیت انرژی شبیه‌سازی‌شده است و اندازه‌گیری زیستی ATP نیست. منبع: docs/hard_experiment_01/results_v7.json، پیشوند دیجست 28f812c5.</w:t>
      </w:r>
    </w:p>
    <w:p>
      <w:pPr>
        <w:spacing w:after="80" w:line="360" w:lineRule="auto" w:before="0"/>
        <w:jc w:val="right"/>
        <w:bidi w:val="1"/>
      </w:pPr>
      <w:r>
        <w:rPr>
          <w:rFonts w:ascii="Calibri" w:hAnsi="Calibri" w:cs="Calibri" w:eastAsia="Calibri"/>
          <w:b w:val="0"/>
          <w:i/>
          <w:sz w:val="22"/>
          <w:rtl/>
          <w:cs/>
        </w:rPr>
        <w:t>جدول ۴. کنتراست‌های تأییدی ذخیره‌شده در v7. بازه پیش‌فرض بوت‌استرپ است نه studentized.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F4E79" w:val="clear"/>
          </w:tcPr>
          <w:p>
            <w:pPr>
              <w:spacing w:after="160" w:line="360" w:lineRule="auto"/>
              <w:jc w:val="center"/>
              <w:bidi w:val="1"/>
            </w:pPr>
            <w:r>
              <w:rPr>
                <w:color w:val="FFFFFF"/>
              </w:rPr>
            </w:r>
            <w:r>
              <w:rPr>
                <w:rFonts w:ascii="Calibri" w:hAnsi="Calibri" w:cs="Calibri" w:eastAsia="Calibri"/>
                <w:b/>
                <w:i w:val="0"/>
                <w:color w:val="FFFFFF"/>
                <w:sz w:val="20"/>
                <w:rtl/>
                <w:cs/>
              </w:rPr>
              <w:t>کنترل</w:t>
            </w:r>
          </w:p>
        </w:tc>
        <w:tc>
          <w:tcPr>
            <w:tcW w:type="dxa" w:w="1512"/>
            <w:shd w:fill="1F4E79" w:val="clear"/>
          </w:tcPr>
          <w:p>
            <w:pPr>
              <w:spacing w:after="160" w:line="360" w:lineRule="auto"/>
              <w:jc w:val="center"/>
              <w:bidi w:val="1"/>
            </w:pPr>
            <w:r>
              <w:rPr>
                <w:color w:val="FFFFFF"/>
              </w:rPr>
            </w:r>
            <w:r>
              <w:rPr>
                <w:rFonts w:ascii="Calibri" w:hAnsi="Calibri" w:cs="Calibri" w:eastAsia="Calibri"/>
                <w:b/>
                <w:i w:val="0"/>
                <w:color w:val="FFFFFF"/>
                <w:sz w:val="20"/>
                <w:rtl/>
                <w:cs/>
              </w:rPr>
              <w:t>تفاضل</w:t>
            </w:r>
          </w:p>
        </w:tc>
        <w:tc>
          <w:tcPr>
            <w:tcW w:type="dxa" w:w="1512"/>
            <w:shd w:fill="1F4E79" w:val="clear"/>
          </w:tcPr>
          <w:p>
            <w:pPr>
              <w:spacing w:after="160" w:line="360" w:lineRule="auto"/>
              <w:jc w:val="center"/>
              <w:bidi w:val="1"/>
            </w:pPr>
            <w:r>
              <w:rPr>
                <w:color w:val="FFFFFF"/>
              </w:rPr>
            </w:r>
            <w:r>
              <w:rPr>
                <w:rFonts w:ascii="Calibri" w:hAnsi="Calibri" w:cs="Calibri" w:eastAsia="Calibri"/>
                <w:b/>
                <w:i w:val="0"/>
                <w:color w:val="FFFFFF"/>
                <w:sz w:val="20"/>
                <w:rtl/>
                <w:cs/>
              </w:rPr>
              <w:t>d_z</w:t>
            </w:r>
          </w:p>
        </w:tc>
        <w:tc>
          <w:tcPr>
            <w:tcW w:type="dxa" w:w="1512"/>
            <w:shd w:fill="1F4E79" w:val="clear"/>
          </w:tcPr>
          <w:p>
            <w:pPr>
              <w:spacing w:after="160" w:line="360" w:lineRule="auto"/>
              <w:jc w:val="center"/>
              <w:bidi w:val="1"/>
            </w:pPr>
            <w:r>
              <w:rPr>
                <w:color w:val="FFFFFF"/>
              </w:rPr>
            </w:r>
            <w:r>
              <w:rPr>
                <w:rFonts w:ascii="Calibri" w:hAnsi="Calibri" w:cs="Calibri" w:eastAsia="Calibri"/>
                <w:b/>
                <w:i w:val="0"/>
                <w:color w:val="FFFFFF"/>
                <w:sz w:val="20"/>
                <w:rtl/>
                <w:cs/>
              </w:rPr>
              <w:t>بازهٔ ۹۵٪ ذخیره‌شده</w:t>
            </w:r>
          </w:p>
        </w:tc>
        <w:tc>
          <w:tcPr>
            <w:tcW w:type="dxa" w:w="1512"/>
            <w:shd w:fill="1F4E79" w:val="clear"/>
          </w:tcPr>
          <w:p>
            <w:pPr>
              <w:spacing w:after="160" w:line="360" w:lineRule="auto"/>
              <w:jc w:val="center"/>
              <w:bidi w:val="1"/>
            </w:pPr>
            <w:r>
              <w:rPr>
                <w:color w:val="FFFFFF"/>
              </w:rPr>
            </w:r>
            <w:r>
              <w:rPr>
                <w:rFonts w:ascii="Calibri" w:hAnsi="Calibri" w:cs="Calibri" w:eastAsia="Calibri"/>
                <w:b/>
                <w:i w:val="0"/>
                <w:color w:val="FFFFFF"/>
                <w:sz w:val="20"/>
                <w:rtl/>
                <w:cs/>
              </w:rPr>
              <w:t>p خام</w:t>
            </w:r>
          </w:p>
        </w:tc>
        <w:tc>
          <w:tcPr>
            <w:tcW w:type="dxa" w:w="1512"/>
            <w:shd w:fill="1F4E79" w:val="clear"/>
          </w:tcPr>
          <w:p>
            <w:pPr>
              <w:spacing w:after="160" w:line="360" w:lineRule="auto"/>
              <w:jc w:val="center"/>
              <w:bidi w:val="1"/>
            </w:pPr>
            <w:r>
              <w:rPr>
                <w:color w:val="FFFFFF"/>
              </w:rPr>
            </w:r>
            <w:r>
              <w:rPr>
                <w:rFonts w:ascii="Calibri" w:hAnsi="Calibri" w:cs="Calibri" w:eastAsia="Calibri"/>
                <w:b/>
                <w:i w:val="0"/>
                <w:color w:val="FFFFFF"/>
                <w:sz w:val="20"/>
                <w:rtl/>
                <w:cs/>
              </w:rPr>
              <w:t>p هولم</w:t>
            </w:r>
          </w:p>
        </w:tc>
      </w:tr>
      <w:tr>
        <w:tc>
          <w:tcPr>
            <w:tcW w:type="dxa" w:w="1512"/>
          </w:tcPr>
          <w:p>
            <w:pPr>
              <w:spacing w:after="160" w:line="360" w:lineRule="auto"/>
              <w:jc w:val="center"/>
              <w:bidi w:val="1"/>
            </w:pPr>
            <w:r/>
            <w:r>
              <w:rPr>
                <w:rFonts w:ascii="Calibri" w:hAnsi="Calibri" w:cs="Calibri" w:eastAsia="Calibri"/>
                <w:b w:val="0"/>
                <w:i w:val="0"/>
                <w:sz w:val="20"/>
                <w:rtl/>
                <w:cs/>
              </w:rPr>
              <w:t>بی‌دروازه</w:t>
            </w:r>
          </w:p>
        </w:tc>
        <w:tc>
          <w:tcPr>
            <w:tcW w:type="dxa" w:w="1512"/>
          </w:tcPr>
          <w:p>
            <w:pPr>
              <w:spacing w:after="160" w:line="360" w:lineRule="auto"/>
              <w:jc w:val="center"/>
              <w:bidi w:val="1"/>
            </w:pPr>
            <w:r/>
            <w:r>
              <w:rPr>
                <w:rFonts w:ascii="Calibri" w:hAnsi="Calibri" w:cs="Calibri" w:eastAsia="Calibri"/>
                <w:b w:val="0"/>
                <w:i w:val="0"/>
                <w:sz w:val="20"/>
                <w:rtl/>
                <w:cs/>
              </w:rPr>
              <w:t>16.49</w:t>
            </w:r>
          </w:p>
        </w:tc>
        <w:tc>
          <w:tcPr>
            <w:tcW w:type="dxa" w:w="1512"/>
          </w:tcPr>
          <w:p>
            <w:pPr>
              <w:spacing w:after="160" w:line="360" w:lineRule="auto"/>
              <w:jc w:val="center"/>
              <w:bidi w:val="1"/>
            </w:pPr>
            <w:r/>
            <w:r>
              <w:rPr>
                <w:rFonts w:ascii="Calibri" w:hAnsi="Calibri" w:cs="Calibri" w:eastAsia="Calibri"/>
                <w:b w:val="0"/>
                <w:i w:val="0"/>
                <w:sz w:val="20"/>
                <w:rtl/>
                <w:cs/>
              </w:rPr>
              <w:t>2.37</w:t>
            </w:r>
          </w:p>
        </w:tc>
        <w:tc>
          <w:tcPr>
            <w:tcW w:type="dxa" w:w="1512"/>
          </w:tcPr>
          <w:p>
            <w:pPr>
              <w:spacing w:after="160" w:line="360" w:lineRule="auto"/>
              <w:jc w:val="center"/>
              <w:bidi w:val="1"/>
            </w:pPr>
            <w:r/>
            <w:r>
              <w:rPr>
                <w:rFonts w:ascii="Calibri" w:hAnsi="Calibri" w:cs="Calibri" w:eastAsia="Calibri"/>
                <w:b w:val="0"/>
                <w:i w:val="0"/>
                <w:sz w:val="20"/>
                <w:rtl/>
                <w:cs/>
              </w:rPr>
              <w:t>14.25–19.14</w:t>
            </w:r>
          </w:p>
        </w:tc>
        <w:tc>
          <w:tcPr>
            <w:tcW w:type="dxa" w:w="1512"/>
          </w:tcPr>
          <w:p>
            <w:pPr>
              <w:spacing w:after="160" w:line="360" w:lineRule="auto"/>
              <w:jc w:val="center"/>
              <w:bidi w:val="1"/>
            </w:pPr>
            <w:r/>
            <w:r>
              <w:rPr>
                <w:rFonts w:ascii="Calibri" w:hAnsi="Calibri" w:cs="Calibri" w:eastAsia="Calibri"/>
                <w:b w:val="0"/>
                <w:i w:val="0"/>
                <w:sz w:val="20"/>
                <w:rtl/>
                <w:cs/>
              </w:rPr>
              <w:t>4.99975×10⁻⁵</w:t>
            </w:r>
          </w:p>
        </w:tc>
        <w:tc>
          <w:tcPr>
            <w:tcW w:type="dxa" w:w="1512"/>
          </w:tcPr>
          <w:p>
            <w:pPr>
              <w:spacing w:after="160" w:line="360" w:lineRule="auto"/>
              <w:jc w:val="center"/>
              <w:bidi w:val="1"/>
            </w:pPr>
            <w:r/>
            <w:r>
              <w:rPr>
                <w:rFonts w:ascii="Calibri" w:hAnsi="Calibri" w:cs="Calibri" w:eastAsia="Calibri"/>
                <w:b w:val="0"/>
                <w:i w:val="0"/>
                <w:sz w:val="20"/>
                <w:rtl/>
                <w:cs/>
              </w:rPr>
              <w:t>1.50×10⁻⁴</w:t>
            </w:r>
          </w:p>
        </w:tc>
      </w:tr>
      <w:tr>
        <w:tc>
          <w:tcPr>
            <w:tcW w:type="dxa" w:w="1512"/>
            <w:shd w:fill="F2F2F2" w:val="clear"/>
          </w:tcPr>
          <w:p>
            <w:pPr>
              <w:spacing w:after="160" w:line="360" w:lineRule="auto"/>
              <w:jc w:val="center"/>
              <w:bidi w:val="1"/>
            </w:pPr>
            <w:r/>
            <w:r>
              <w:rPr>
                <w:rFonts w:ascii="Calibri" w:hAnsi="Calibri" w:cs="Calibri" w:eastAsia="Calibri"/>
                <w:b w:val="0"/>
                <w:i w:val="0"/>
                <w:sz w:val="20"/>
                <w:rtl/>
                <w:cs/>
              </w:rPr>
              <w:t>کپسول خاموش</w:t>
            </w:r>
          </w:p>
        </w:tc>
        <w:tc>
          <w:tcPr>
            <w:tcW w:type="dxa" w:w="1512"/>
            <w:shd w:fill="F2F2F2" w:val="clear"/>
          </w:tcPr>
          <w:p>
            <w:pPr>
              <w:spacing w:after="160" w:line="360" w:lineRule="auto"/>
              <w:jc w:val="center"/>
              <w:bidi w:val="1"/>
            </w:pPr>
            <w:r/>
            <w:r>
              <w:rPr>
                <w:rFonts w:ascii="Calibri" w:hAnsi="Calibri" w:cs="Calibri" w:eastAsia="Calibri"/>
                <w:b w:val="0"/>
                <w:i w:val="0"/>
                <w:sz w:val="20"/>
                <w:rtl/>
                <w:cs/>
              </w:rPr>
              <w:t>30.67</w:t>
            </w:r>
          </w:p>
        </w:tc>
        <w:tc>
          <w:tcPr>
            <w:tcW w:type="dxa" w:w="1512"/>
            <w:shd w:fill="F2F2F2" w:val="clear"/>
          </w:tcPr>
          <w:p>
            <w:pPr>
              <w:spacing w:after="160" w:line="360" w:lineRule="auto"/>
              <w:jc w:val="center"/>
              <w:bidi w:val="1"/>
            </w:pPr>
            <w:r/>
            <w:r>
              <w:rPr>
                <w:rFonts w:ascii="Calibri" w:hAnsi="Calibri" w:cs="Calibri" w:eastAsia="Calibri"/>
                <w:b w:val="0"/>
                <w:i w:val="0"/>
                <w:sz w:val="20"/>
                <w:rtl/>
                <w:cs/>
              </w:rPr>
              <w:t>2.31</w:t>
            </w:r>
          </w:p>
        </w:tc>
        <w:tc>
          <w:tcPr>
            <w:tcW w:type="dxa" w:w="1512"/>
            <w:shd w:fill="F2F2F2" w:val="clear"/>
          </w:tcPr>
          <w:p>
            <w:pPr>
              <w:spacing w:after="160" w:line="360" w:lineRule="auto"/>
              <w:jc w:val="center"/>
              <w:bidi w:val="1"/>
            </w:pPr>
            <w:r/>
            <w:r>
              <w:rPr>
                <w:rFonts w:ascii="Calibri" w:hAnsi="Calibri" w:cs="Calibri" w:eastAsia="Calibri"/>
                <w:b w:val="0"/>
                <w:i w:val="0"/>
                <w:sz w:val="20"/>
                <w:rtl/>
                <w:cs/>
              </w:rPr>
              <w:t>26.03–35.32</w:t>
            </w:r>
          </w:p>
        </w:tc>
        <w:tc>
          <w:tcPr>
            <w:tcW w:type="dxa" w:w="1512"/>
            <w:shd w:fill="F2F2F2" w:val="clear"/>
          </w:tcPr>
          <w:p>
            <w:pPr>
              <w:spacing w:after="160" w:line="360" w:lineRule="auto"/>
              <w:jc w:val="center"/>
              <w:bidi w:val="1"/>
            </w:pPr>
            <w:r/>
            <w:r>
              <w:rPr>
                <w:rFonts w:ascii="Calibri" w:hAnsi="Calibri" w:cs="Calibri" w:eastAsia="Calibri"/>
                <w:b w:val="0"/>
                <w:i w:val="0"/>
                <w:sz w:val="20"/>
                <w:rtl/>
                <w:cs/>
              </w:rPr>
              <w:t>4.99975×10⁻⁵</w:t>
            </w:r>
          </w:p>
        </w:tc>
        <w:tc>
          <w:tcPr>
            <w:tcW w:type="dxa" w:w="1512"/>
            <w:shd w:fill="F2F2F2" w:val="clear"/>
          </w:tcPr>
          <w:p>
            <w:pPr>
              <w:spacing w:after="160" w:line="360" w:lineRule="auto"/>
              <w:jc w:val="center"/>
              <w:bidi w:val="1"/>
            </w:pPr>
            <w:r/>
            <w:r>
              <w:rPr>
                <w:rFonts w:ascii="Calibri" w:hAnsi="Calibri" w:cs="Calibri" w:eastAsia="Calibri"/>
                <w:b w:val="0"/>
                <w:i w:val="0"/>
                <w:sz w:val="20"/>
                <w:rtl/>
                <w:cs/>
              </w:rPr>
              <w:t>1.50×10⁻⁴</w:t>
            </w:r>
          </w:p>
        </w:tc>
      </w:tr>
      <w:tr>
        <w:tc>
          <w:tcPr>
            <w:tcW w:type="dxa" w:w="1512"/>
          </w:tcPr>
          <w:p>
            <w:pPr>
              <w:spacing w:after="160" w:line="360" w:lineRule="auto"/>
              <w:jc w:val="center"/>
              <w:bidi w:val="1"/>
            </w:pPr>
            <w:r/>
            <w:r>
              <w:rPr>
                <w:rFonts w:ascii="Calibri" w:hAnsi="Calibri" w:cs="Calibri" w:eastAsia="Calibri"/>
                <w:b w:val="0"/>
                <w:i w:val="0"/>
                <w:sz w:val="20"/>
                <w:rtl/>
                <w:cs/>
              </w:rPr>
              <w:t>محتوای خنثی</w:t>
            </w:r>
          </w:p>
        </w:tc>
        <w:tc>
          <w:tcPr>
            <w:tcW w:type="dxa" w:w="1512"/>
          </w:tcPr>
          <w:p>
            <w:pPr>
              <w:spacing w:after="160" w:line="360" w:lineRule="auto"/>
              <w:jc w:val="center"/>
              <w:bidi w:val="1"/>
            </w:pPr>
            <w:r/>
            <w:r>
              <w:rPr>
                <w:rFonts w:ascii="Calibri" w:hAnsi="Calibri" w:cs="Calibri" w:eastAsia="Calibri"/>
                <w:b w:val="0"/>
                <w:i w:val="0"/>
                <w:sz w:val="20"/>
                <w:rtl/>
                <w:cs/>
              </w:rPr>
              <w:t>30.67</w:t>
            </w:r>
          </w:p>
        </w:tc>
        <w:tc>
          <w:tcPr>
            <w:tcW w:type="dxa" w:w="1512"/>
          </w:tcPr>
          <w:p>
            <w:pPr>
              <w:spacing w:after="160" w:line="360" w:lineRule="auto"/>
              <w:jc w:val="center"/>
              <w:bidi w:val="1"/>
            </w:pPr>
            <w:r/>
            <w:r>
              <w:rPr>
                <w:rFonts w:ascii="Calibri" w:hAnsi="Calibri" w:cs="Calibri" w:eastAsia="Calibri"/>
                <w:b w:val="0"/>
                <w:i w:val="0"/>
                <w:sz w:val="20"/>
                <w:rtl/>
                <w:cs/>
              </w:rPr>
              <w:t>2.31</w:t>
            </w:r>
          </w:p>
        </w:tc>
        <w:tc>
          <w:tcPr>
            <w:tcW w:type="dxa" w:w="1512"/>
          </w:tcPr>
          <w:p>
            <w:pPr>
              <w:spacing w:after="160" w:line="360" w:lineRule="auto"/>
              <w:jc w:val="center"/>
              <w:bidi w:val="1"/>
            </w:pPr>
            <w:r/>
            <w:r>
              <w:rPr>
                <w:rFonts w:ascii="Calibri" w:hAnsi="Calibri" w:cs="Calibri" w:eastAsia="Calibri"/>
                <w:b w:val="0"/>
                <w:i w:val="0"/>
                <w:sz w:val="20"/>
                <w:rtl/>
                <w:cs/>
              </w:rPr>
              <w:t>26.03–35.32</w:t>
            </w:r>
          </w:p>
        </w:tc>
        <w:tc>
          <w:tcPr>
            <w:tcW w:type="dxa" w:w="1512"/>
          </w:tcPr>
          <w:p>
            <w:pPr>
              <w:spacing w:after="160" w:line="360" w:lineRule="auto"/>
              <w:jc w:val="center"/>
              <w:bidi w:val="1"/>
            </w:pPr>
            <w:r/>
            <w:r>
              <w:rPr>
                <w:rFonts w:ascii="Calibri" w:hAnsi="Calibri" w:cs="Calibri" w:eastAsia="Calibri"/>
                <w:b w:val="0"/>
                <w:i w:val="0"/>
                <w:sz w:val="20"/>
                <w:rtl/>
                <w:cs/>
              </w:rPr>
              <w:t>4.99975×10⁻⁵</w:t>
            </w:r>
          </w:p>
        </w:tc>
        <w:tc>
          <w:tcPr>
            <w:tcW w:type="dxa" w:w="1512"/>
          </w:tcPr>
          <w:p>
            <w:pPr>
              <w:spacing w:after="160" w:line="360" w:lineRule="auto"/>
              <w:jc w:val="center"/>
              <w:bidi w:val="1"/>
            </w:pPr>
            <w:r/>
            <w:r>
              <w:rPr>
                <w:rFonts w:ascii="Calibri" w:hAnsi="Calibri" w:cs="Calibri" w:eastAsia="Calibri"/>
                <w:b w:val="0"/>
                <w:i w:val="0"/>
                <w:sz w:val="20"/>
                <w:rtl/>
                <w:cs/>
              </w:rPr>
              <w:t>1.50×10⁻⁴</w:t>
            </w:r>
          </w:p>
        </w:tc>
      </w:tr>
    </w:tbl>
    <w:p/>
    <w:p>
      <w:pPr>
        <w:spacing w:after="160" w:line="360" w:lineRule="auto" w:before="0"/>
        <w:ind w:firstLine="283"/>
        <w:jc w:val="right"/>
        <w:bidi w:val="1"/>
      </w:pPr>
      <w:r>
        <w:rPr>
          <w:rFonts w:ascii="Calibri" w:hAnsi="Calibri" w:cs="Calibri" w:eastAsia="Calibri"/>
          <w:b w:val="0"/>
          <w:i w:val="0"/>
          <w:sz w:val="24"/>
          <w:rtl/>
          <w:cs/>
        </w:rPr>
        <w:t>تفسیر علّی مجاز نیست. مداخله مرکب است. سه بازو روی انرژی ۲۸٫۰ اشباع شده‌اند در حالی که پذیرش ۰، ۲۶۰٫۹ و ۲۰۷٫۳ است. births_mean در هر هفت بازو صفر است. بازپخش فقط بذرهای ۱۱ و ۴۰ را پوشش می‌دهد.</w:t>
      </w:r>
    </w:p>
    <w:p>
      <w:pPr>
        <w:spacing w:after="160" w:line="360" w:lineRule="auto" w:before="0"/>
        <w:ind w:firstLine="283"/>
        <w:jc w:val="right"/>
        <w:bidi w:val="1"/>
      </w:pPr>
      <w:r>
        <w:rPr>
          <w:rFonts w:ascii="Calibri" w:hAnsi="Calibri" w:cs="Calibri" w:eastAsia="Calibri"/>
          <w:b w:val="0"/>
          <w:i w:val="0"/>
          <w:sz w:val="24"/>
          <w:rtl/>
          <w:cs/>
        </w:rPr>
        <w:t>شمارش دقیق اختیاری برای سه تفاضل اکیداً مثبت ۲/۲³⁰ = 1.86265×10⁻⁹ است. این جایگزینی مصنوع v7 نیست.</w:t>
      </w:r>
    </w:p>
    <w:p>
      <w:pPr>
        <w:spacing w:after="200" w:line="360" w:lineRule="auto" w:before="280"/>
        <w:jc w:val="right"/>
        <w:bidi w:val="1"/>
      </w:pPr>
      <w:r>
        <w:rPr>
          <w:rFonts w:ascii="Calibri" w:hAnsi="Calibri" w:cs="Calibri" w:eastAsia="Calibri"/>
          <w:b/>
          <w:i w:val="0"/>
          <w:sz w:val="32"/>
          <w:rtl/>
          <w:cs/>
        </w:rPr>
        <w:t>۶. شواهد مهندسی مکمل</w:t>
      </w:r>
    </w:p>
    <w:p>
      <w:pPr>
        <w:spacing w:after="160" w:line="360" w:lineRule="auto" w:before="0"/>
        <w:ind w:firstLine="283"/>
        <w:jc w:val="right"/>
        <w:bidi w:val="1"/>
      </w:pPr>
      <w:r>
        <w:rPr>
          <w:rFonts w:ascii="Calibri" w:hAnsi="Calibri" w:cs="Calibri" w:eastAsia="Calibri"/>
          <w:b w:val="0"/>
          <w:i w:val="0"/>
          <w:sz w:val="24"/>
          <w:rtl/>
          <w:cs/>
        </w:rPr>
        <w:t>بازپخش بذر با دیجست ثابت، حذف یال جهت‌دار، و غربال Morris در دامنهٔ آزموده‌شده ثبت شده‌اند. این شواهد صحت کل جهان یا علیت عمومی را اثبات نمی‌کنند.</w:t>
      </w:r>
    </w:p>
    <w:p>
      <w:pPr>
        <w:spacing w:after="200" w:line="360" w:lineRule="auto" w:before="280"/>
        <w:jc w:val="right"/>
        <w:bidi w:val="1"/>
      </w:pPr>
      <w:r>
        <w:rPr>
          <w:rFonts w:ascii="Calibri" w:hAnsi="Calibri" w:cs="Calibri" w:eastAsia="Calibri"/>
          <w:b/>
          <w:i w:val="0"/>
          <w:sz w:val="32"/>
          <w:rtl/>
          <w:cs/>
        </w:rPr>
        <w:t>۷. کاربرد و مرزها</w:t>
      </w:r>
    </w:p>
    <w:p>
      <w:pPr>
        <w:spacing w:after="160" w:line="360" w:lineRule="auto" w:before="0"/>
        <w:ind w:firstLine="283"/>
        <w:jc w:val="right"/>
        <w:bidi w:val="1"/>
      </w:pPr>
      <w:r>
        <w:rPr>
          <w:rFonts w:ascii="Calibri" w:hAnsi="Calibri" w:cs="Calibri" w:eastAsia="Calibri"/>
          <w:b w:val="0"/>
          <w:i w:val="0"/>
          <w:sz w:val="24"/>
          <w:rtl/>
          <w:cs/>
        </w:rPr>
        <w:t>ارتباط با مهندسی تجهیزات پزشکی روش‌شناختی است، نه گواهی محصول. تناسب شواهد با زمینهٔ کاربرد و پیامد تصمیم، منطق مشترک با ASME V&amp;V 40-2018 است [5]. راهنمای FDA در نوامبر ۲۰۲۳ هشت دستهٔ شواهد اعتبار را برای مدل‌های فیزیک‌مبنا یا مکانیکی تعریف می‌کند و صریحاً مدل‌های مستقل یادگیری ماشین را از دامنه خارج می‌کند [14]. گزارش فنی ASME VVUQ 40.1-2026 یک مثال کامل برای سینی تیبیا است، نه بیتِ قبول [19]. IMDRF N81 (۲۰۲۵) نرم‌افزار وسیلهٔ پزشکی را شامل نرم‌افزار جاسازی‌شده (SiMD) توصیف می‌کند [20]. IEC 62304 ردهٔ ایمنی A/B/C را برای شدت فرایند چرخهٔ حیات تعیین می‌کند، نه ردهٔ وسیلهٔ EU MDR [21]. Pathmanathan و همکاران اعتبار سلسله‌مراتبی آزمون درسیلیکو را پیشنهاد کرده‌اند [22]. سمپوزیوم FDA/MDIC ۲۰۲۴ همین چارچوب را جمع‌بندی کرده است [23].</w:t>
      </w:r>
    </w:p>
    <w:p>
      <w:pPr>
        <w:spacing w:after="160" w:line="360" w:lineRule="auto" w:before="0"/>
        <w:ind w:firstLine="283"/>
        <w:jc w:val="right"/>
        <w:bidi w:val="1"/>
      </w:pPr>
      <w:r>
        <w:rPr>
          <w:rFonts w:ascii="Calibri" w:hAnsi="Calibri" w:cs="Calibri" w:eastAsia="Calibri"/>
          <w:b w:val="0"/>
          <w:i w:val="0"/>
          <w:sz w:val="24"/>
          <w:rtl/>
          <w:cs/>
        </w:rPr>
        <w:t>در مخزن، کاربر می‌تواند device_software_kind=simd_declared، ردهٔ اعلام‌شدهٔ IEC 62304، دستهٔ IMDRF N12 و زیرمجموعهٔ ۱–۸ شواهد FDA ۲۰۲۳ را ثبت کند. این برچسب‌ها سطح نردبان را بالا نمی‌برند و asme_vv40_passed / iec_62304_certified / in_silico_trial_validated را رد می‌کنند.</w:t>
      </w:r>
    </w:p>
    <w:p>
      <w:pPr>
        <w:spacing w:after="160" w:line="360" w:lineRule="auto" w:before="0"/>
        <w:ind w:firstLine="283"/>
        <w:jc w:val="right"/>
        <w:bidi w:val="1"/>
      </w:pPr>
      <w:r>
        <w:rPr>
          <w:rFonts w:ascii="Calibri" w:hAnsi="Calibri" w:cs="Calibri" w:eastAsia="Calibri"/>
          <w:b w:val="0"/>
          <w:i w:val="0"/>
          <w:sz w:val="24"/>
          <w:rtl/>
          <w:cs/>
        </w:rPr>
        <w:t>برای مدل‌سازی شناختی، وجود کانال با یادگیری اجتماعی یا تکامل فرهنگی یکسان نیست [15]–[18]. این سطوح در سناریوی حاضر احراز نشده‌اند.</w:t>
      </w:r>
    </w:p>
    <w:p>
      <w:pPr>
        <w:spacing w:after="200" w:line="360" w:lineRule="auto" w:before="280"/>
        <w:jc w:val="right"/>
        <w:bidi w:val="1"/>
      </w:pPr>
      <w:r>
        <w:rPr>
          <w:rFonts w:ascii="Calibri" w:hAnsi="Calibri" w:cs="Calibri" w:eastAsia="Calibri"/>
          <w:b/>
          <w:i w:val="0"/>
          <w:sz w:val="32"/>
          <w:rtl/>
          <w:cs/>
        </w:rPr>
        <w:t>۸. نتیجه‌گیری</w:t>
      </w:r>
    </w:p>
    <w:p>
      <w:pPr>
        <w:spacing w:after="160" w:line="360" w:lineRule="auto" w:before="0"/>
        <w:ind w:firstLine="283"/>
        <w:jc w:val="right"/>
        <w:bidi w:val="1"/>
      </w:pPr>
      <w:r>
        <w:rPr>
          <w:rFonts w:ascii="Calibri" w:hAnsi="Calibri" w:cs="Calibri" w:eastAsia="Calibri"/>
          <w:b w:val="0"/>
          <w:i w:val="0"/>
          <w:sz w:val="24"/>
          <w:rtl/>
          <w:cs/>
        </w:rPr>
        <w:t>کودون‌تریس جنسیس اجرای قطعی، ردیابی سازوکار و رتبه‌بندی شواهد را در یک بستر جمع می‌کند. ممیزی چهار نقص نشان داد که خودِ ابزار تولید شواهد نیز به آزمون نیاز دارد. بازتحلیل تفاوت عددی پیکربندی‌ها را تأیید کرد، اما ادعای اثر مستقل منشأ اطلاعات را پشتیبانی نکرد. هیچ ادعایی دربارهٔ هوشمندی، هوش جمعی، جایگزینی آویدا یا آمادگی بالینی از این نتایج صادر نمی‌شود.</w:t>
      </w:r>
    </w:p>
    <w:p>
      <w:pPr>
        <w:spacing w:after="200" w:line="360" w:lineRule="auto" w:before="280"/>
        <w:jc w:val="right"/>
        <w:bidi w:val="1"/>
      </w:pPr>
      <w:r>
        <w:rPr>
          <w:rFonts w:ascii="Calibri" w:hAnsi="Calibri" w:cs="Calibri" w:eastAsia="Calibri"/>
          <w:b/>
          <w:i w:val="0"/>
          <w:sz w:val="32"/>
          <w:rtl/>
          <w:cs/>
        </w:rPr>
        <w:t>داده و کد</w:t>
      </w:r>
    </w:p>
    <w:p>
      <w:pPr>
        <w:spacing w:after="160" w:line="360" w:lineRule="auto" w:before="0"/>
        <w:jc w:val="right"/>
        <w:bidi w:val="1"/>
      </w:pPr>
      <w:r>
        <w:rPr>
          <w:rFonts w:ascii="Calibri" w:hAnsi="Calibri" w:cs="Calibri" w:eastAsia="Calibri"/>
          <w:b w:val="0"/>
          <w:i w:val="0"/>
          <w:sz w:val="24"/>
          <w:rtl/>
          <w:cs/>
        </w:rPr>
        <w:t>مخزن: https://github.com/Parvaz-Jamei/codontrace-genesis</w:t>
      </w:r>
    </w:p>
    <w:p>
      <w:pPr>
        <w:spacing w:after="160" w:line="360" w:lineRule="auto" w:before="0"/>
        <w:jc w:val="right"/>
        <w:bidi w:val="1"/>
      </w:pPr>
      <w:r>
        <w:rPr>
          <w:rFonts w:ascii="Calibri" w:hAnsi="Calibri" w:cs="Calibri" w:eastAsia="Calibri"/>
          <w:b w:val="0"/>
          <w:i w:val="0"/>
          <w:sz w:val="24"/>
          <w:rtl/>
          <w:cs/>
        </w:rPr>
        <w:t>DOI نرم‌افزار: 10.5281/zenodo.20337435</w:t>
      </w:r>
    </w:p>
    <w:p>
      <w:pPr>
        <w:spacing w:after="160" w:line="360" w:lineRule="auto" w:before="0"/>
        <w:jc w:val="right"/>
        <w:bidi w:val="1"/>
      </w:pPr>
      <w:r>
        <w:rPr>
          <w:rFonts w:ascii="Calibri" w:hAnsi="Calibri" w:cs="Calibri" w:eastAsia="Calibri"/>
          <w:b w:val="0"/>
          <w:i w:val="0"/>
          <w:sz w:val="24"/>
          <w:rtl/>
          <w:cs/>
        </w:rPr>
        <w:t>PyPI: codontrace (نسخه از pyproject.toml)</w:t>
      </w:r>
    </w:p>
    <w:p>
      <w:pPr>
        <w:spacing w:after="160" w:line="360" w:lineRule="auto" w:before="0"/>
        <w:jc w:val="right"/>
        <w:bidi w:val="1"/>
      </w:pPr>
      <w:r>
        <w:rPr>
          <w:rFonts w:ascii="Calibri" w:hAnsi="Calibri" w:cs="Calibri" w:eastAsia="Calibri"/>
          <w:b w:val="0"/>
          <w:i w:val="0"/>
          <w:sz w:val="24"/>
          <w:rtl/>
          <w:cs/>
        </w:rPr>
        <w:t>بازتحلیل از docs/hard_experiment_01/results_v7.json؛ پیشوند دیجست 28f812c5. فایل ladder_validation.json و شاخهٔ fix/small-sample-ci-coverage در نسخهٔ عمومی نیستند.</w:t>
      </w:r>
    </w:p>
    <w:p>
      <w:pPr>
        <w:spacing w:after="200" w:line="360" w:lineRule="auto" w:before="280"/>
        <w:jc w:val="right"/>
        <w:bidi w:val="1"/>
      </w:pPr>
      <w:r>
        <w:rPr>
          <w:rFonts w:ascii="Calibri" w:hAnsi="Calibri" w:cs="Calibri" w:eastAsia="Calibri"/>
          <w:b/>
          <w:i w:val="0"/>
          <w:sz w:val="32"/>
          <w:rtl/>
          <w:cs/>
        </w:rPr>
        <w:t>سپاسگزاری</w:t>
      </w:r>
    </w:p>
    <w:p>
      <w:pPr>
        <w:spacing w:after="160" w:line="360" w:lineRule="auto" w:before="0"/>
        <w:ind w:firstLine="283"/>
        <w:jc w:val="right"/>
        <w:bidi w:val="1"/>
      </w:pPr>
      <w:r>
        <w:rPr>
          <w:rFonts w:ascii="Calibri" w:hAnsi="Calibri" w:cs="Calibri" w:eastAsia="Calibri"/>
          <w:b w:val="0"/>
          <w:i w:val="0"/>
          <w:sz w:val="24"/>
          <w:rtl/>
          <w:cs/>
        </w:rPr>
        <w:t>از ابزارهای هوش مصنوعی در توسعه، مستندسازی و ویرایش استفاده شده است. مسئولیت محتوای علمی با نویسنده است. کشف نقص‌ها به ممیزی مهندسی نسبت داده می‌شود، نه به کشف خودکار نردبان.</w:t>
      </w:r>
    </w:p>
    <w:p>
      <w:pPr>
        <w:spacing w:after="200" w:line="360" w:lineRule="auto" w:before="280"/>
        <w:jc w:val="right"/>
        <w:bidi w:val="1"/>
      </w:pPr>
      <w:r>
        <w:rPr>
          <w:rFonts w:ascii="Calibri" w:hAnsi="Calibri" w:cs="Calibri" w:eastAsia="Calibri"/>
          <w:b/>
          <w:i w:val="0"/>
          <w:sz w:val="32"/>
          <w:rtl/>
          <w:cs/>
        </w:rPr>
        <w:t>مراجع</w:t>
      </w:r>
    </w:p>
    <w:p>
      <w:pPr>
        <w:spacing w:after="80" w:line="360" w:lineRule="auto" w:before="0"/>
        <w:ind w:left="340" w:hanging="340"/>
        <w:jc w:val="right"/>
        <w:bidi w:val="1"/>
      </w:pPr>
      <w:r>
        <w:rPr>
          <w:rFonts w:ascii="Calibri" w:hAnsi="Calibri" w:cs="Calibri" w:eastAsia="Calibri"/>
          <w:b w:val="0"/>
          <w:i w:val="0"/>
          <w:sz w:val="20"/>
          <w:rtl/>
          <w:cs/>
        </w:rPr>
        <w:t>[1] European Parliament and Council, Regulation (EU) 2024/1689, Annex IV, Official Journal of the European Union, Jul. 2024.</w:t>
      </w:r>
    </w:p>
    <w:p>
      <w:pPr>
        <w:spacing w:after="80" w:line="360" w:lineRule="auto" w:before="0"/>
        <w:ind w:left="340" w:hanging="340"/>
        <w:jc w:val="right"/>
        <w:bidi w:val="1"/>
      </w:pPr>
      <w:r>
        <w:rPr>
          <w:rFonts w:ascii="Calibri" w:hAnsi="Calibri" w:cs="Calibri" w:eastAsia="Calibri"/>
          <w:b w:val="0"/>
          <w:i w:val="0"/>
          <w:sz w:val="20"/>
          <w:rtl/>
          <w:cs/>
        </w:rPr>
        <w:t>[2] F. Angermeir et al., “Reflections on the reproducibility of commercial LLM performance in empirical software engineering studies,” in Proc. ICSE, 2026, doi: 10.1145/3744916.3773207. Also arXiv:2510.25506.</w:t>
      </w:r>
    </w:p>
    <w:p>
      <w:pPr>
        <w:spacing w:after="80" w:line="360" w:lineRule="auto" w:before="0"/>
        <w:ind w:left="340" w:hanging="340"/>
        <w:jc w:val="right"/>
        <w:bidi w:val="1"/>
      </w:pPr>
      <w:r>
        <w:rPr>
          <w:rFonts w:ascii="Calibri" w:hAnsi="Calibri" w:cs="Calibri" w:eastAsia="Calibri"/>
          <w:b w:val="0"/>
          <w:i w:val="0"/>
          <w:sz w:val="20"/>
          <w:rtl/>
          <w:cs/>
        </w:rPr>
        <w:t>[3] J. Mirkovic, Q. S. Liang, and D. Balenson, “Measuring ease of reuse for security research artifacts with results-reproduced badges,” in Proc. ACM Conf. Reproducibility and Replicability (ACM REP), 2026.</w:t>
      </w:r>
    </w:p>
    <w:p>
      <w:pPr>
        <w:spacing w:after="80" w:line="360" w:lineRule="auto" w:before="0"/>
        <w:ind w:left="340" w:hanging="340"/>
        <w:jc w:val="right"/>
        <w:bidi w:val="1"/>
      </w:pPr>
      <w:r>
        <w:rPr>
          <w:rFonts w:ascii="Calibri" w:hAnsi="Calibri" w:cs="Calibri" w:eastAsia="Calibri"/>
          <w:b w:val="0"/>
          <w:i w:val="0"/>
          <w:sz w:val="20"/>
          <w:rtl/>
          <w:cs/>
        </w:rPr>
        <w:t>[4] NASA, Standard for Models and Simulations, NASA-STD-7009B, Mar. 2024.</w:t>
      </w:r>
    </w:p>
    <w:p>
      <w:pPr>
        <w:spacing w:after="80" w:line="360" w:lineRule="auto" w:before="0"/>
        <w:ind w:left="340" w:hanging="340"/>
        <w:jc w:val="right"/>
        <w:bidi w:val="1"/>
      </w:pPr>
      <w:r>
        <w:rPr>
          <w:rFonts w:ascii="Calibri" w:hAnsi="Calibri" w:cs="Calibri" w:eastAsia="Calibri"/>
          <w:b w:val="0"/>
          <w:i w:val="0"/>
          <w:sz w:val="20"/>
          <w:rtl/>
          <w:cs/>
        </w:rPr>
        <w:t>[5] ASME, “Assessing credibility of computational modeling through verification and validation: Application to medical devices,” ASME V&amp;V 40-2018, 2018.</w:t>
      </w:r>
    </w:p>
    <w:p>
      <w:pPr>
        <w:spacing w:after="80" w:line="360" w:lineRule="auto" w:before="0"/>
        <w:ind w:left="340" w:hanging="340"/>
        <w:jc w:val="right"/>
        <w:bidi w:val="1"/>
      </w:pPr>
      <w:r>
        <w:rPr>
          <w:rFonts w:ascii="Calibri" w:hAnsi="Calibri" w:cs="Calibri" w:eastAsia="Calibri"/>
          <w:b w:val="0"/>
          <w:i w:val="0"/>
          <w:sz w:val="20"/>
          <w:rtl/>
          <w:cs/>
        </w:rPr>
        <w:t>[6] M. López-Ibáñez, J. Branke, and L. Paquete, “Reproducibility in evolutionary computation,” ACM Trans. Evol. Learn. Optim., vol. 1, no. 4, 2021, doi:10.1145/3466624.</w:t>
      </w:r>
    </w:p>
    <w:p>
      <w:pPr>
        <w:spacing w:after="80" w:line="360" w:lineRule="auto" w:before="0"/>
        <w:ind w:left="340" w:hanging="340"/>
        <w:jc w:val="right"/>
        <w:bidi w:val="1"/>
      </w:pPr>
      <w:r>
        <w:rPr>
          <w:rFonts w:ascii="Calibri" w:hAnsi="Calibri" w:cs="Calibri" w:eastAsia="Calibri"/>
          <w:b w:val="0"/>
          <w:i w:val="0"/>
          <w:sz w:val="20"/>
          <w:rtl/>
          <w:cs/>
        </w:rPr>
        <w:t>[7] C. Ofria and C. O. Wilke, “Avida: A software platform for research in computational evolutionary biology,” Artificial Life, vol. 10, no. 2, pp. 191–229, 2004, doi:10.1162/106454604773563612.</w:t>
      </w:r>
    </w:p>
    <w:p>
      <w:pPr>
        <w:spacing w:after="80" w:line="360" w:lineRule="auto" w:before="0"/>
        <w:ind w:left="340" w:hanging="340"/>
        <w:jc w:val="right"/>
        <w:bidi w:val="1"/>
      </w:pPr>
      <w:r>
        <w:rPr>
          <w:rFonts w:ascii="Calibri" w:hAnsi="Calibri" w:cs="Calibri" w:eastAsia="Calibri"/>
          <w:b w:val="0"/>
          <w:i w:val="0"/>
          <w:sz w:val="20"/>
          <w:rtl/>
          <w:cs/>
        </w:rPr>
        <w:t>[8] M. Flageat, H. Janmohamed, B. Lim, and A. Cully, “Exploring the performance-reproducibility trade-off in quality-diversity,” IEEE Trans. Evol. Comput., vol. 30, no. 1, pp. 286–295, 2026, doi: 10.1109/TEVC.2025.3548438.</w:t>
      </w:r>
    </w:p>
    <w:p>
      <w:pPr>
        <w:spacing w:after="80" w:line="360" w:lineRule="auto" w:before="0"/>
        <w:ind w:left="340" w:hanging="340"/>
        <w:jc w:val="right"/>
        <w:bidi w:val="1"/>
      </w:pPr>
      <w:r>
        <w:rPr>
          <w:rFonts w:ascii="Calibri" w:hAnsi="Calibri" w:cs="Calibri" w:eastAsia="Calibri"/>
          <w:b w:val="0"/>
          <w:i w:val="0"/>
          <w:sz w:val="20"/>
          <w:rtl/>
          <w:cs/>
        </w:rPr>
        <w:t>[9] V. Grimm et al., “The ODD protocol for describing agent-based and other simulation models,” J. Artif. Soc. Soc. Simul., vol. 23, no. 2, art. 7, 2020, doi: 10.18564/jasss.4259.</w:t>
      </w:r>
    </w:p>
    <w:p>
      <w:pPr>
        <w:spacing w:after="80" w:line="360" w:lineRule="auto" w:before="0"/>
        <w:ind w:left="340" w:hanging="340"/>
        <w:jc w:val="right"/>
        <w:bidi w:val="1"/>
      </w:pPr>
      <w:r>
        <w:rPr>
          <w:rFonts w:ascii="Calibri" w:hAnsi="Calibri" w:cs="Calibri" w:eastAsia="Calibri"/>
          <w:b w:val="0"/>
          <w:i w:val="0"/>
          <w:sz w:val="20"/>
          <w:rtl/>
          <w:cs/>
        </w:rPr>
        <w:t>[10] R. L. Kendal et al., “Social learning strategies: Bridge-building between fields,” Trends Cogn. Sci., vol. 22, no. 7, pp. 651–665, 2018, doi:10.1016/j.tics.2018.04.003.</w:t>
      </w:r>
    </w:p>
    <w:p>
      <w:pPr>
        <w:spacing w:after="80" w:line="360" w:lineRule="auto" w:before="0"/>
        <w:ind w:left="340" w:hanging="340"/>
        <w:jc w:val="right"/>
        <w:bidi w:val="1"/>
      </w:pPr>
      <w:r>
        <w:rPr>
          <w:rFonts w:ascii="Calibri" w:hAnsi="Calibri" w:cs="Calibri" w:eastAsia="Calibri"/>
          <w:b w:val="0"/>
          <w:i w:val="0"/>
          <w:sz w:val="20"/>
          <w:rtl/>
          <w:cs/>
        </w:rPr>
        <w:t>[11] A. Acerbi and J. J. Tehrani, “Did Einstein really say that? Testing content versus context in the cultural selection of quotations,” J. Cognition and Culture, vol. 18, no. 3–4, pp. 293–311, 2018, doi:10.1163/15685373-12340032.</w:t>
      </w:r>
    </w:p>
    <w:p>
      <w:pPr>
        <w:spacing w:after="80" w:line="360" w:lineRule="auto" w:before="0"/>
        <w:ind w:left="340" w:hanging="340"/>
        <w:jc w:val="right"/>
        <w:bidi w:val="1"/>
      </w:pPr>
      <w:r>
        <w:rPr>
          <w:rFonts w:ascii="Calibri" w:hAnsi="Calibri" w:cs="Calibri" w:eastAsia="Calibri"/>
          <w:b w:val="0"/>
          <w:i w:val="0"/>
          <w:sz w:val="20"/>
          <w:rtl/>
          <w:cs/>
        </w:rPr>
        <w:t>[12] R. E. W. Berl, A. N. Samarasinghe, S. G. Roberts, F. M. Jordan, and M. C. Gavin, “Prestige and content biases together shape the cultural transmission of narratives,” Evol. Hum. Sci., vol. 3, p. e42, 2021, doi:10.1017/ehs.2021.37.</w:t>
      </w:r>
    </w:p>
    <w:p>
      <w:pPr>
        <w:spacing w:after="80" w:line="360" w:lineRule="auto" w:before="0"/>
        <w:ind w:left="340" w:hanging="340"/>
        <w:jc w:val="right"/>
        <w:bidi w:val="1"/>
      </w:pPr>
      <w:r>
        <w:rPr>
          <w:rFonts w:ascii="Calibri" w:hAnsi="Calibri" w:cs="Calibri" w:eastAsia="Calibri"/>
          <w:b w:val="0"/>
          <w:i w:val="0"/>
          <w:sz w:val="20"/>
          <w:rtl/>
          <w:cs/>
        </w:rPr>
        <w:t>[13] J. Lehman et al., “The surprising creativity of digital evolution,” Artificial Life, vol. 26, no. 2, pp. 274–306, 2020, doi:10.1162/artl_a_00319.</w:t>
      </w:r>
    </w:p>
    <w:p>
      <w:pPr>
        <w:spacing w:after="80" w:line="360" w:lineRule="auto" w:before="0"/>
        <w:ind w:left="340" w:hanging="340"/>
        <w:jc w:val="right"/>
        <w:bidi w:val="1"/>
      </w:pPr>
      <w:r>
        <w:rPr>
          <w:rFonts w:ascii="Calibri" w:hAnsi="Calibri" w:cs="Calibri" w:eastAsia="Calibri"/>
          <w:b w:val="0"/>
          <w:i w:val="0"/>
          <w:sz w:val="20"/>
          <w:rtl/>
          <w:cs/>
        </w:rPr>
        <w:t>[14] U.S. Food and Drug Administration, Assessing the Credibility of Computational Modeling and Simulation in Medical Device Submissions, Guidance for Industry and FDA Staff, Nov. 2023.</w:t>
      </w:r>
    </w:p>
    <w:p>
      <w:pPr>
        <w:spacing w:after="80" w:line="360" w:lineRule="auto" w:before="0"/>
        <w:ind w:left="340" w:hanging="340"/>
        <w:jc w:val="right"/>
        <w:bidi w:val="1"/>
      </w:pPr>
      <w:r>
        <w:rPr>
          <w:rFonts w:ascii="Calibri" w:hAnsi="Calibri" w:cs="Calibri" w:eastAsia="Calibri"/>
          <w:b w:val="0"/>
          <w:i w:val="0"/>
          <w:sz w:val="20"/>
          <w:rtl/>
          <w:cs/>
        </w:rPr>
        <w:t>[15] A. Mesoudi and A. Thornton, “What is cumulative cultural evolution?,” Proc. R. Soc. B, vol. 285, no. 1880, p. 20180712, 2018, doi:10.1098/rspb.2018.0712.</w:t>
      </w:r>
    </w:p>
    <w:p>
      <w:pPr>
        <w:spacing w:after="80" w:line="360" w:lineRule="auto" w:before="0"/>
        <w:ind w:left="340" w:hanging="340"/>
        <w:jc w:val="right"/>
        <w:bidi w:val="1"/>
      </w:pPr>
      <w:r>
        <w:rPr>
          <w:rFonts w:ascii="Calibri" w:hAnsi="Calibri" w:cs="Calibri" w:eastAsia="Calibri"/>
          <w:b w:val="0"/>
          <w:i w:val="0"/>
          <w:sz w:val="20"/>
          <w:rtl/>
          <w:cs/>
        </w:rPr>
        <w:t>[16] S. Kirby, H. Cornish, and K. Smith, “Cumulative cultural evolution in the laboratory,” Proc. Natl. Acad. Sci. USA, vol. 105, no. 31, pp. 10681–10686, 2008, doi:10.1073/pnas.0707835105.</w:t>
      </w:r>
    </w:p>
    <w:p>
      <w:pPr>
        <w:spacing w:after="80" w:line="360" w:lineRule="auto" w:before="0"/>
        <w:ind w:left="340" w:hanging="340"/>
        <w:jc w:val="right"/>
        <w:bidi w:val="1"/>
      </w:pPr>
      <w:r>
        <w:rPr>
          <w:rFonts w:ascii="Calibri" w:hAnsi="Calibri" w:cs="Calibri" w:eastAsia="Calibri"/>
          <w:b w:val="0"/>
          <w:i w:val="0"/>
          <w:sz w:val="20"/>
          <w:rtl/>
          <w:cs/>
        </w:rPr>
        <w:t>[17] M. Derex, P. Edmiston, G. Lupyan, and A. Mesoudi, “Trade-offs, control conditions, and alternative designs in the experimental study of cultural evolution,” Proc. Natl. Acad. Sci. USA, vol. 121, no. 48, e2322886121, 2024, doi:10.1073/pnas.2322886121.</w:t>
      </w:r>
    </w:p>
    <w:p>
      <w:pPr>
        <w:spacing w:after="80" w:line="360" w:lineRule="auto" w:before="0"/>
        <w:ind w:left="340" w:hanging="340"/>
        <w:jc w:val="right"/>
        <w:bidi w:val="1"/>
      </w:pPr>
      <w:r>
        <w:rPr>
          <w:rFonts w:ascii="Calibri" w:hAnsi="Calibri" w:cs="Calibri" w:eastAsia="Calibri"/>
          <w:b w:val="0"/>
          <w:i w:val="0"/>
          <w:sz w:val="20"/>
          <w:rtl/>
          <w:cs/>
        </w:rPr>
        <w:t>[18] D. Floreano, S. Mitri, S. Magnenat, and L. Keller, “Evolutionary conditions for the emergence of communication in robots,” Current Biology, vol. 17, no. 6, pp. 514–519, 2007, doi:10.1016/j.cub.2007.01.058.</w:t>
      </w:r>
    </w:p>
    <w:p>
      <w:pPr>
        <w:spacing w:after="80" w:line="360" w:lineRule="auto" w:before="0"/>
        <w:ind w:left="340" w:hanging="340"/>
        <w:jc w:val="right"/>
        <w:bidi w:val="1"/>
      </w:pPr>
      <w:r>
        <w:rPr>
          <w:rFonts w:ascii="Calibri" w:hAnsi="Calibri" w:cs="Calibri" w:eastAsia="Calibri"/>
          <w:b w:val="0"/>
          <w:i w:val="0"/>
          <w:sz w:val="20"/>
          <w:rtl/>
          <w:cs/>
        </w:rPr>
        <w:t>[19] ASME, An Example of Assessing Computational Model Credibility Using the ASME V&amp;V 40 Risk-Based Framework: Tibial Tray Component Worst-Case Size Identification for Fatigue Testing, VVUQ 40.1-2026, 2026.</w:t>
      </w:r>
    </w:p>
    <w:p>
      <w:pPr>
        <w:spacing w:after="80" w:line="360" w:lineRule="auto" w:before="0"/>
        <w:ind w:left="340" w:hanging="340"/>
        <w:jc w:val="right"/>
        <w:bidi w:val="1"/>
      </w:pPr>
      <w:r>
        <w:rPr>
          <w:rFonts w:ascii="Calibri" w:hAnsi="Calibri" w:cs="Calibri" w:eastAsia="Calibri"/>
          <w:b w:val="0"/>
          <w:i w:val="0"/>
          <w:sz w:val="20"/>
          <w:rtl/>
          <w:cs/>
        </w:rPr>
        <w:t>[20] IMDRF Software as a Medical Device Working Group, Characterization Considerations for Medical Device Software and Software-Specific Risk, IMDRF/SaMD WG/N81 FINAL:2025, Jan. 2025.</w:t>
      </w:r>
    </w:p>
    <w:p>
      <w:pPr>
        <w:spacing w:after="80" w:line="360" w:lineRule="auto" w:before="0"/>
        <w:ind w:left="340" w:hanging="340"/>
        <w:jc w:val="right"/>
        <w:bidi w:val="1"/>
      </w:pPr>
      <w:r>
        <w:rPr>
          <w:rFonts w:ascii="Calibri" w:hAnsi="Calibri" w:cs="Calibri" w:eastAsia="Calibri"/>
          <w:b w:val="0"/>
          <w:i w:val="0"/>
          <w:sz w:val="20"/>
          <w:rtl/>
          <w:cs/>
        </w:rPr>
        <w:t>[21] IEC 62304:2006+AMD1:2015, Medical device software — Software life cycle processes.</w:t>
      </w:r>
    </w:p>
    <w:p>
      <w:pPr>
        <w:spacing w:after="80" w:line="360" w:lineRule="auto" w:before="0"/>
        <w:ind w:left="340" w:hanging="340"/>
        <w:jc w:val="right"/>
        <w:bidi w:val="1"/>
      </w:pPr>
      <w:r>
        <w:rPr>
          <w:rFonts w:ascii="Calibri" w:hAnsi="Calibri" w:cs="Calibri" w:eastAsia="Calibri"/>
          <w:b w:val="0"/>
          <w:i w:val="0"/>
          <w:sz w:val="20"/>
          <w:rtl/>
          <w:cs/>
        </w:rPr>
        <w:t>[22] P. Pathmanathan et al., “Credibility assessment of in silico clinical trials for medical devices,” PLoS Comput. Biol., vol. 20, no. 8, e1012289, 2024, doi:10.1371/journal.pcbi.1012289.</w:t>
      </w:r>
    </w:p>
    <w:p>
      <w:pPr>
        <w:spacing w:after="80" w:line="360" w:lineRule="auto" w:before="0"/>
        <w:ind w:left="340" w:hanging="340"/>
        <w:jc w:val="right"/>
        <w:bidi w:val="1"/>
      </w:pPr>
      <w:r>
        <w:rPr>
          <w:rFonts w:ascii="Calibri" w:hAnsi="Calibri" w:cs="Calibri" w:eastAsia="Calibri"/>
          <w:b w:val="0"/>
          <w:i w:val="0"/>
          <w:sz w:val="20"/>
          <w:rtl/>
          <w:cs/>
        </w:rPr>
        <w:t>[23] B. A. Craven et al., “Computational modeling and simulation for medical devices: a summary of the 2024 FDA/MDIC Symposium,” Prog. Biomed. Eng., vol. 8, no. 1, 013001, 2026, doi:10.1088/2516-1091/ae1c05.</w:t>
      </w:r>
    </w:p>
    <w:sectPr w:rsidR="00FC693F" w:rsidRPr="0006063C" w:rsidSect="00034616">
      <w:pgSz w:w="11906" w:h="16838"/>
      <w:pgMar w:top="1417" w:right="1417" w:bottom="1417" w:left="1417"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ادعاهای محاسباتی با نردبان شواهد کودون‌تریس جنسیس و ممیزی چهار نقص واقعی</dc:title>
  <dc:subject>BAIC 2026</dc:subject>
  <dc:creator>Parvaz Jamei</dc:creator>
  <cp:keywords/>
  <dc:description>generated by python-docx</dc:description>
  <cp:lastModifiedBy/>
  <cp:revision>1</cp:revision>
  <dcterms:created xsi:type="dcterms:W3CDTF">2013-12-23T23:15:00Z</dcterms:created>
  <dcterms:modified xsi:type="dcterms:W3CDTF">2013-12-23T23:15:00Z</dcterms:modified>
  <cp:category/>
</cp:coreProperties>
</file>