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w:t>
      </w:r>
      <w:r>
        <w:rPr>
          <w:rFonts w:ascii="Times New Roman" w:hAnsi="Times New Roman" w:cs="B Nazanin" w:eastAsia="B Nazanin"/>
          <w:b/>
          <w:sz w:val="22"/>
          <w:rtl w:val="1"/>
          <w:lang w:val="en-US" w:bidi="fa-IR" w:eastAsia="fa-IR"/>
          <w:vertAlign w:val="superscript"/>
        </w:rPr>
        <w:t xml:space="preserve">۱</w:t>
      </w:r>
    </w:p>
    <w:p>
      <w:pPr>
        <w:pStyle w:val="Affiliations"/>
        <w:jc w:val="center"/>
        <w:bidi w:val="1"/>
      </w:pPr>
      <w:r>
        <w:rPr>
          <w:rFonts w:ascii="Times New Roman" w:hAnsi="Times New Roman" w:cs="B Nazanin" w:eastAsia="B Nazanin"/>
          <w:sz w:val="18"/>
          <w:rtl w:val="1"/>
          <w:lang w:val="en-US" w:bidi="fa-IR" w:eastAsia="fa-IR"/>
          <w:vertAlign w:val="superscript"/>
        </w:rPr>
        <w:t xml:space="preserve">۱</w:t>
      </w:r>
      <w:r>
        <w:rPr>
          <w:rFonts w:ascii="Times New Roman" w:hAnsi="Times New Roman" w:cs="B Nazanin" w:eastAsia="B Nazanin"/>
          <w:sz w:val="18"/>
          <w:rtl w:val="1"/>
          <w:lang w:val="en-US" w:bidi="fa-IR" w:eastAsia="fa-IR"/>
        </w:rPr>
        <w:t>پژوهشگر مستقل، مشهد، ایران، parvaz.jamie@gmail.com</w:t>
      </w:r>
    </w:p>
    <w:p>
      <w:pPr>
        <w:pStyle w:val="Affiliations"/>
        <w:jc w:val="center"/>
        <w:bidi w:val="1"/>
      </w:pPr>
      <w:r>
        <w:rPr>
          <w:rFonts w:ascii="Times New Roman" w:hAnsi="Times New Roman" w:cs="B Nazanin" w:eastAsia="B Nazanin"/>
          <w:sz w:val="18"/>
          <w:rtl w:val="1"/>
          <w:lang w:val="en-US" w:bidi="fa-IR" w:eastAsia="fa-IR"/>
        </w:rPr>
        <w:t>ORCID: https://orcid.org/0009-0002-9980-270X</w:t>
      </w:r>
    </w:p>
    <w:p>
      <w:pPr>
        <w:pStyle w:val="Abstract"/>
        <w:jc w:val="both"/>
        <w:bidi w:val="1"/>
      </w:pPr>
      <w:r>
        <w:rPr>
          <w:rFonts w:ascii="Times New Roman" w:hAnsi="Times New Roman" w:cs="B Nazanin" w:eastAsia="B Nazanin"/>
          <w:sz w:val="18"/>
          <w:rtl w:val="1"/>
          <w:lang w:val="en-US" w:bidi="fa-IR" w:eastAsia="fa-IR"/>
        </w:rPr>
        <w:t>چکیده - این ابزار بعد از اجرا مشخص می‌کند ادعا تا چه سطحی، از صفر تا پنج، با شواهد همان بسته پشتیبانی می‌شود. کودون‌تریس جنسیس اجرا را قطعی می‌کند، مداخله روی یال را ثبت می‌کند و ادعا را روی نردبان اعتبار حسابرسی می‌کند. موتور، هستهٔ اجراست و حوزه را نمی‌شناسد. پورت DomainProfile درگاهی است که پرونده را به بستهٔ شواهد تبدیل می‌کند. درگاه پزشکی واژگان ASME V&amp;V 40، راهنمای FDA ۲۰۲۳، IEC 62304 و IMDRF را روی همین نردبان می‌گذارد و برچسب را به‌جای تأیید نمی‌نشاند. ارزیابی یک جفت کنترل است. HE01 کمپینی اجراشده و بازپخش‌پذیر با سی بذر جفتی است: اختلاف انرژی نسبت به کنترل ۱۶٫۴۹ و بازهٔ BCa برابر [۱۴٫۲۵، ۱۹٫۱۴] بود و حسابرس سطح ۴ داد. جدول مدل تجهیز عمداً بدون شاهد اجرایی ساخته شد و در سطح صفر ماند. این فاصله را هیچ برچسبی پر نمی‌کند.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 واژه- اعتبارسنجی in silico، حسابرسی شواهد، مدل‌سازی محاسباتی، نردبان اعتبار</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این ابزار بعد از اجرای یک مدل محاسباتی مشخص می‌کند نتایج تا چه سطحی، از صفر تا پنج، با شواهد بسته پشتیبانی می‌شوند. این سطح‌ها نردبان اعتبارند: پلهٔ بالاتر شاهد بیشتری می‌خواهد و تأیید تجهیز نیست. در پروندهٔ مدل محاسباتی برای تجهیز پزشکی، سؤال اصلی این نیست که مدل چند درصد درست گفته است. سؤال این است که با شواهد موجود تا کجا می‌شود ادعا کرد. راهنمای نوامبر ۲۰۲۳ سازمان غذا و داروی آمریکا اعتبار مدل‌سازی و شبیه‌سازی فیزیک‌محور را به ریسک تصمیم وصل می‌کند و مدل یادگیری ماشین مستقل را بیرون از دامنه می‌گذارد [1]. استاندارد ASME V&amp;V 40 همین نکته را با پرسش مورد علاقه، زمینهٔ کاربرد و پیامد تصمیم می‌نویسد [2]. NASA-STD-7009B جدا می‌خواهد که هم خود مدل قابل اتکا باشد و هم انتقال نتیجه به شرایط تازه مجاز باشد [3]. پیوست چهارم قانون هوش مصنوعی اتحادیهٔ اروپا نیز برای سامانه‌های مشمول، مستندسازی اعتبارسنجی را لازم کرده است [4]. این سندها زبان مشترکی دارند، اما هیچ‌کدام به‌تنهایی درجهٔ ادعای بسته‌شده به یک فایل پژوهشی را معلوم نمی‌کنند.</w:t>
      </w:r>
    </w:p>
    <w:p>
      <w:pPr>
        <w:jc w:val="both"/>
        <w:bidi w:val="1"/>
      </w:pPr>
      <w:r>
        <w:rPr>
          <w:rFonts w:ascii="Times New Roman" w:hAnsi="Times New Roman" w:cs="B Nazanin" w:eastAsia="B Nazanin"/>
          <w:sz w:val="20"/>
          <w:rtl w:val="1"/>
          <w:lang w:val="en-US" w:bidi="fa-IR" w:eastAsia="fa-IR"/>
        </w:rPr>
        <w:t>Viceconti و همکاران آزمون in silico را بر زمینهٔ کاربرد، تحلیل ریسک، و زنجیرهٔ راستی‌آزمایی، اعتبارسنجی و کمی‌سازی عدم‌قطعیت گذاشته‌اند [5]. Pathmanathan و همکاران همان زنجیره را تا اعتبار زیرمدل‌ها در آزمون بالینی درسیلیکو برده‌اند [17]. گزارش سمپوزیوم FDA/MDIC در سال ۲۰۲۴ هم اعتبار مدل را در طول عمر تجهیز، از جمله دوقلوی دیجیتال، جمع کرده است [18]. آنچه کم است ابزاری است که بعد از انتشار هم بگوید این مصنوع کدام سطح ادعا را پشتیبانی می‌کند. در بررسی ۸۵ مقالهٔ متکی به مدل زبانی در ICSE و ASE سال ۲۰۲۴، از پنج مصنوع اجرایی هیچ‌کدام کامل بازتولید نشد [6]. تکرار اجرا هم به‌خودی‌خود سقف ادعا را نگه نمی‌دارد. این مقاله برای همان کار نوشته شده است.</w:t>
      </w:r>
    </w:p>
    <w:p>
      <w:pPr>
        <w:jc w:val="both"/>
        <w:bidi w:val="1"/>
      </w:pPr>
      <w:r>
        <w:rPr>
          <w:rFonts w:ascii="Times New Roman" w:hAnsi="Times New Roman" w:cs="B Nazanin" w:eastAsia="B Nazanin"/>
          <w:sz w:val="20"/>
          <w:rtl w:val="1"/>
          <w:lang w:val="en-US" w:bidi="fa-IR" w:eastAsia="fa-IR"/>
        </w:rPr>
        <w:t>موتور مدل را گام‌به‌گام پیش می‌برد و برای پزشکی از نو نوشته نشده است. یال یک گام از مسیر علت است. ارزیابی یک جفت کنترل است. HE01 کنترل مثبت و اجراشده است و تا سطح ۴ بالا می‌رود. جدول مدل تجهیز کنترل منفی است، شاهد اجرایی ندارد و در سطح صفر می‌ماند.</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درجه‌بندی اعتبار سابقهٔ طولانی دارد، ولی اغلب در حد راهنما و گزارش نمونه مانده است. ASME VVUQ 40.1-2026 یک نمونهٔ کامل از همین چارچوب است و بدترین اندازهٔ سینی تیبیال را برای آزمون خستگی ISO 14879-1 مشخص می‌کند [7]. IEC 62304 ردهٔ ایمنی نرم‌افزار پزشکی را A، B یا C می‌گذارد و حجم کار چرخهٔ حیات را به همان رده وصل می‌کند [8]. اسناد IMDRF زبان SiMD و SaMD و نیز مشخصه‌سازی ریسک نرم‌افزار دستگاه را تثبیت کرده‌اند [9]، [10]. در این مقاله همان واژه‌ها به نردبانی وصل شده‌اند که روی بستهٔ شواهد اجرا می‌شود.</w:t>
      </w:r>
    </w:p>
    <w:p>
      <w:pPr>
        <w:jc w:val="both"/>
        <w:bidi w:val="1"/>
      </w:pPr>
      <w:r>
        <w:rPr>
          <w:rFonts w:ascii="Times New Roman" w:hAnsi="Times New Roman" w:cs="B Nazanin" w:eastAsia="B Nazanin"/>
          <w:sz w:val="20"/>
          <w:rtl w:val="1"/>
          <w:lang w:val="en-US" w:bidi="fa-IR" w:eastAsia="fa-IR"/>
        </w:rPr>
        <w:t>آویدا بستر شناخته‌شده‌ای برای برنامه‌های خودتکثیرشونده است [11] و پروندهٔ .dat آن از همین در خوانده می‌شود. در ادبیات quality-diversity، پایداری عملکرد در محیط نامطمئن [12] با بازپخش بیت‌به‌بیت یک اجرای نرم‌افزار یکی نیست. توصیف مدل بر اساس پروتکل ODD نوشته شده است [13]. در پیکربندی هم یک خط قرمز هست: رشتهٔ asme_vv40_passed پذیرفته نمی‌شود.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ساخته شده است. هر تنظیم تازه با پیش‌فرض خاموش وارد می‌شود تا آزمایش‌های قبلی به‌هم نریزد. مسیر از ژنوم به کنش، پیامد، کپسول دارای منشأ، پذیرش و در نهایت بقا می‌رسد. برای هر یال، شناسه و اثرانگشت قبل و بعد ذخیره می‌شود تا عبور یک پیام با عوض شدن رفتار اشتباه گرفته نشود. شمارهٔ نسخه از پروندهٔ پیکربندی پروژه خوانده می‌شود و داخل بستهٔ شواهد ثابت نوشته نمی‌شود.</w:t>
      </w:r>
    </w:p>
    <w:p>
      <w:pPr>
        <w:jc w:val="both"/>
        <w:bidi w:val="1"/>
      </w:pPr>
      <w:r>
        <w:rPr>
          <w:rFonts w:ascii="Times New Roman" w:hAnsi="Times New Roman" w:cs="B Nazanin" w:eastAsia="B Nazanin"/>
          <w:sz w:val="20"/>
          <w:rtl w:val="1"/>
          <w:lang w:val="en-US" w:bidi="fa-IR" w:eastAsia="fa-IR"/>
        </w:rPr>
        <w:t>موتور نمی‌داند آزمایش مربوط به پزشکی است یا زندگی مصنوعی یا سخت‌افزار. این برچسب از بیرون می‌آید. آداپتور بستهٔ شواهد را می‌سازد و DomainProfile فقط نام حوزه را با خود دارد. حوزهٔ تازه یعنی پروفایل تازه، نه موتور دوم. شکل ۱ همین جدایی را نشان می‌دهد. موتور گام زمان، اثرانگشت و بازپخش را انجام می‌دهد و حسابرس فقط بسته را می‌بیند [14]. پروفایل hardware و پورت ESP32 پیاده شده‌اند؛ در این مقاله آزمونی برای آن‌ها گزارش نمی‌شود.</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خواندن مصنوع</w:t>
            </w:r>
            <w:r>
              <w:rPr>
                <w:rFonts w:ascii="Times New Roman" w:hAnsi="Times New Roman" w:cs="B Nazanin" w:eastAsia="B Nazanin"/>
                <w:b w:val="0"/>
                <w:sz w:val="15"/>
                <w:rtl w:val="1"/>
                <w:lang w:val="en-US" w:bidi="fa-IR" w:eastAsia="fa-IR"/>
              </w:rPr>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he02/he03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حسابرسی پنج مرحله دارد. آداپتور پرونده یا جدول را به یک بستهٔ واحد برمی‌گرداند. نقش بازوها به پنج نقش کلی نگاشت می‌شود: درمان، حذف سازوکار، خاموش کردن کانال، کنترل منفی، و دوز. اثرانگشت پیکربندی و، اگر موجود باشد، اثرانگشت پیش‌ثبت‌نامه بررسی می‌شود. سپس بازپخش، مقایسهٔ جفتی، بازهٔ اطمینان و تعداد بذر خوانده می‌شود. بالاترین سطحی برمی‌گردد که همهٔ شرط‌هایش برقرار باشد.</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حسابرس از موتور جداست و شش سطح دارد. سطح ۳ به مداخله یا حذف یال، کنترل منفی و بازپخش نیاز دارد. سطح ۴ بازهٔ اطمینان و حداقل شانزده بذر را هم می‌خواهد. سطح ۵ علاوه بر اینها آرشیو، محدودیت نوشته‌شده، و شواهد آماری و مداخله‌ای را با هم لازم دارد. این آستانه‌ها مربوط به همین پیاده‌سازی است. برابر بودن خروجی دو بازو، به‌خودی‌خود، نتیجه را باطل نمی‌کند. آزمون وقتی بی‌اعتبار شمرده می‌شود که خود مداخله هم اعمال نشده 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 xml:space="preserve">آداپتور HE01 فایل JSON را می‌خواند و نقش محلی را به نقش کلی برمی‌گرداند. بایت خود پرونده عوض نمی‌شود. پروندهٔ Avida و خروجی CSV مربوط به MABE2 هم از همین مسیر وارد می‌شوند. آداپتور زیست‌پزشکی جدول امتیاز را با زمینهٔ کاربرد و ریسک مدل پر می‌کند. اتصال سخت‌افزاری </w:t>
      </w:r>
      <w:r>
        <w:rPr>
          <w:rFonts w:ascii="Times New Roman" w:hAnsi="Times New Roman" w:cs="B Nazanin" w:eastAsia="B Nazanin"/>
          <w:sz w:val="20"/>
          <w:rtl w:val="1"/>
          <w:lang w:val="en-US" w:bidi="fa-IR" w:eastAsia="fa-IR"/>
          <w:b/>
          <w:bCs/>
        </w:rPr>
        <w:t xml:space="preserve">اختیاری</w:t>
      </w:r>
      <w:r>
        <w:rPr>
          <w:rFonts w:ascii="Times New Roman" w:hAnsi="Times New Roman" w:cs="B Nazanin" w:eastAsia="B Nazanin"/>
          <w:sz w:val="20"/>
          <w:rtl w:val="1"/>
          <w:lang w:val="en-US" w:bidi="fa-IR" w:eastAsia="fa-IR"/>
        </w:rPr>
        <w:t xml:space="preserve"> است. برای فایل متنی، اثرانگشت بعد از یکسان‌سازی انتهای سطر ساخته می‌شود و هش فایل دودویی با Path.read_bytes() حساب می‌شود. آزمون پیش‌فرض، جایگشت علامت جفتی با تصحیح Holm و بازهٔ BCa است. بوت‌استرپ studentized و شمارش دقیق علامت برای n≤۴۰ اختیاری‌اند تا اعداد کمپین منتشرشده جابه‌جا نشود.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حوزهٔ پزشکی از DomainProfile می‌آید. نام‌های موجود alife، biomedical و hardware هستند [15]. simd_declared و samd_declared عبارت IMDRF را روی بسته یادداشت می‌کنند و خود محصول را رده‌بندی نمی‌کنند. اگر مدل فیزیک‌محور اعلام نشده باشد، نسبت به راهنمای سال ۲۰۲۳ خارج از دامنه می‌ماند، حتی وقتی خانه‌های شواهد پر شده باشند. رشته‌هایی مانند asme_vv40_passed، fda_cleared، clinical_validated و iec_62304_certified در پیکربندی قبول نمی‌شوند. از یک جدول اعلامی مهر تأیید بیرون نمی‌آید.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t>رفتار پورت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ثبت پرسش</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ثبت زمینهٔ کاربرد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تصمیم</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مدل</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شواهد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ردهٔ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N12</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SiMD/SaMD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درجهٔ ادعا روی نردبان</w:t>
            </w:r>
          </w:p>
        </w:tc>
      </w:tr>
    </w:tbl>
    <w:p>
      <w:pPr>
        <w:jc w:val="both"/>
        <w:bidi w:val="1"/>
      </w:pPr>
      <w:r>
        <w:rPr>
          <w:rFonts w:ascii="Times New Roman" w:hAnsi="Times New Roman" w:cs="B Nazanin" w:eastAsia="B Nazanin"/>
          <w:sz w:val="20"/>
          <w:rtl w:val="1"/>
          <w:lang w:val="en-US" w:bidi="fa-IR" w:eastAsia="fa-IR"/>
        </w:rPr>
        <w:t>این جدول کنترل منفی است و عمداً بدون شاهد اجرایی ساخته شده است. حسابرس سطح صفر برمی‌گرداند، چون مانیفست اجرا در بسته نیست.</w:t>
      </w:r>
    </w:p>
    <w:p>
      <w:pPr>
        <w:pStyle w:val="TableTitle"/>
        <w:jc w:val="center"/>
        <w:bidi w:val="1"/>
      </w:pPr>
      <w:r>
        <w:rPr>
          <w:rFonts w:ascii="Times New Roman" w:hAnsi="Times New Roman" w:cs="B Nazanin" w:eastAsia="B Nazanin"/>
          <w:b/>
          <w:i/>
          <w:sz w:val="16"/>
          <w:rtl w:val="1"/>
          <w:lang w:val="en-US" w:bidi="fa-IR" w:eastAsia="fa-IR"/>
        </w:rPr>
        <w:t>جدول ۳: کنترل منفی؛ بدون شاهد اجرایی، خروجی حسابرس سطح ۰</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جدول مصنوعی؛ بدون ISO و ایمپلنت</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۲ / ۳؛ ریسک مدل ۳</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بله؛ سطح نردبان همچنان ۰</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اجرایی</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HE01 کنترل مثبت است: کمپینی اجراشده و بازپخش‌پذیر، با مداخله و سی بذر جفتی. درمان با کنترل‌های محتوای تهی، کانال بسته، کانال روشن بدون این سوگیری، و محتوای برخورده مقایسه می‌شود. سنجه میانگین انرژی پایانی گیرنده داخل شبیه‌سازی است. برچسب داخل فایل results_v7.json برابر intervention_supported است. حسابرس عمومی همان بسته را در سطح ۴ می‌گذارد؛ تا سطح ۵ فقط شناسهٔ آرشیو کم است. این نام روی نقشهٔ داخلی کنار سطح ۳ است و به‌تنهایی درجه را نمی‌سازد.</w:t>
      </w:r>
    </w:p>
    <w:p>
      <w:pPr>
        <w:jc w:val="both"/>
        <w:bidi w:val="1"/>
      </w:pPr>
      <w:r>
        <w:rPr>
          <w:rFonts w:ascii="Times New Roman" w:hAnsi="Times New Roman" w:cs="B Nazanin" w:eastAsia="B Nazanin"/>
          <w:sz w:val="20"/>
          <w:rtl w:val="1"/>
          <w:lang w:val="en-US" w:bidi="fa-IR" w:eastAsia="fa-IR"/>
        </w:rPr>
        <w:t>فایل results_v7.json با پیشوند اثرانگشت 28f812c5 سه مقایسهٔ جفتی دارد [16]. نسبت به کانال روشن و بدون سوگیری منشأ، اختلاف ۱۶٫۴۹ واحد است. p خام جایگشت ۴٫۹۹۹۷۵×۱۰⁻⁵ و p پس از Holm برابر ۱٫۵۰×۱۰⁻⁴ است. بازهٔ BCa نیز [۱۴٫۲۵، ۱۹٫۱۴] است. نسبت به کانال بسته و محتوای تهی، اختلاف ۳۰٫۶۷ واحد و بازهٔ [۲۶٫۰۳، ۳۵٫۳۲] است. در مقایسهٔ اول کانال سر جای خود می‌ماند و فقط سوگیری برداشته می‌شود. در مقایسهٔ دوم هم محتوا عوض می‌شود و هم سوگیری. اگر همان سی اختلاف را با بوت‌استرپ studentized، که اختیاری است، دوباره حساب کنیم، بازه حدود ۱۴٫۰۵ تا ۱۹٫۳۰ می‌شود. این تفاوت از روش می‌آید و فایل v7 دست نخورده است.</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انرژی پایانی گیرنده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source_bias_off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t>Δ = ۱۶٫۴۹ ؛ BCa [۱۴٫۲۵، ۱۹٫۱۴]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source_bias_on در برابر capsules_off / content_null</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t>Δ = ۳۰٫۶۷ ؛ BCa [۲۶٫۰۳، ۳۵٫۳۲]</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
              <w:rPr>
                <w:rFonts w:ascii="Times New Roman" w:hAnsi="Times New Roman" w:cs="B Nazanin" w:eastAsia="B Nazanin"/>
                <w:b w:val="0"/>
                <w:sz w:val="16"/>
                <w:rtl w:val="1"/>
                <w:lang w:val="en-US" w:bidi="fa-IR" w:eastAsia="fa-IR"/>
              </w:rPr>
              <w:t>۴٫۹۹۹۷۵×۱۰⁻⁵ / ۱٫۵۰×۱۰⁻⁴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سقف ادعا در مصنوع</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intervention_supported</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کنترل منفی، بدون شاهد اجرایی</w:t>
      </w:r>
    </w:p>
    <w:p>
      <w:pPr>
        <w:jc w:val="both"/>
        <w:bidi w:val="1"/>
      </w:pPr>
      <w:r>
        <w:rPr>
          <w:rFonts w:ascii="Times New Roman" w:hAnsi="Times New Roman" w:cs="B Nazanin" w:eastAsia="B Nazanin"/>
          <w:sz w:val="20"/>
          <w:rtl w:val="1"/>
          <w:lang w:val="en-US" w:bidi="fa-IR" w:eastAsia="fa-IR"/>
        </w:rPr>
        <w:t>جدول با زمینهٔ یک مدل تجهیز به حسابرس داده شد و شاهد اجرایی ندارد. سؤال این بود که آیا امتیازها، بدون بازپخش و بدون مداخله، اجازه می‌دهند اندازهٔ بدترین حالت انتخاب شود. آزمون ISO 14879-1 و ایمپلنت در کار نیست. تأثیر مدل ۲ و پیامد تصمیم ۳ است، پس ریسک مدل ۳ ثبت می‌شود. امتیاز درمان ۰٫۱۲، ۰٫۱۱ و ۰٫۱۳ و کنترل ۰٫۲۰، ۰٫۱۹ و ۰٫۲۱ است. برچسب‌ها simd_declared، ردهٔ B از IEC 62304، دستهٔ II از IMDRF و شواهد ۱، ۳ و ۸ هستند. خروجی سطح صفر بود. HE01، کنترل مثبت، به سطح ۴ می‌رسد. فاصلهٔ این دو خروجی را هیچ برچسبی پر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ASME V&amp;V 40 روش اعتبار یک مدل در زمینهٔ کاربرد مشخص است. در این بستر، پرسش، زمینه، تأثیر و پیامد ثبت می‌شود و سپس ادعای همراه بسته درجه می‌گیرد. اگر آزمون نیمکت یا in vivo در دست باشد، بیرون از نرم‌افزار جمع می‌شود و فقط به شکل دستهٔ راهنمای FDA ۲۰۲۳ اعلام می‌گردد. کودون‌تریس جای آن آزمون‌ها را نمی‌گیرد و حساب ادعا را نگه می‌دارد. نسخه از پیکربندی پروژه خوانده می‌شود و اعداد کمپین در این متن دوباره تولید نشده‌اند.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راهنمای FDA سال ۲۰۲۳ مدل یادگیری ماشین مستقل را در بر نمی‌گیرد. در HE01 مقایسه با کنترل محتوایی، مداخله‌ای مرکب است. گام بعدی، ارزیابی همین حسابرس روی پروفایل سخت‌افزار و نشاندن یک مدل فیزیک‌محور با مانیفست روی همین پورت است.</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فاصلهٔ کنترل مثبت و کنترل منفی را هیچ برچسبی پر نمی‌کند. HE01، کمپین اجراشده با سی بذر و بازه، به سطح ۴ رسید. جدول مدل تجهیز، با برچسب تنظیم‌گری و بدون شاهد اجرایی، در سطح صفر ماند. موتور حوزه را نمی‌شناسد و واژگان ASME V&amp;V 40، راهنمای FDA ۲۰۲۳، IEC 62304 و IMDRF از پورت پزشکی روی همین نردبان می‌نشیند.</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