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BNazanin.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bidi w:val="1"/>
      </w:pPr>
      <w:r>
        <w:rPr>
          <w:rFonts w:ascii="Times New Roman" w:hAnsi="Times New Roman" w:cs="B Nazanin" w:eastAsia="B Nazanin"/>
          <w:b/>
          <w:sz w:val="28"/>
          <w:rtl w:val="1"/>
          <w:lang w:val="en-US" w:bidi="fa-IR" w:eastAsia="fa-IR"/>
        </w:rPr>
        <w:t xml:space="preserve">حسابرسی شواهد مدل‌های in silico در مهندسی پزشکی با نردبان اعتبار کودون‌تریس جنسیس</w:t>
      </w:r>
    </w:p>
    <w:p>
      <w:pPr>
        <w:pStyle w:val="TitleEnglish"/>
        <w:jc w:val="center"/>
        <w:bidi w:val="1"/>
      </w:pPr>
      <w:r>
        <w:rPr>
          <w:rFonts w:ascii="Times New Roman" w:hAnsi="Times New Roman" w:cs="B Nazanin" w:eastAsia="B Nazanin"/>
          <w:i/>
          <w:sz w:val="22"/>
          <w:rtl w:val="1"/>
          <w:lang w:val="en-US" w:bidi="fa-IR" w:eastAsia="fa-IR"/>
        </w:rPr>
        <w:t xml:space="preserve">Auditing Evidence for In-Silico Models in Biomedical Engineering with the CodonTrace Genesis Credibility Ladder</w:t>
      </w:r>
    </w:p>
    <w:p>
      <w:pPr>
        <w:pStyle w:val="Authors"/>
        <w:jc w:val="center"/>
        <w:bidi w:val="1"/>
      </w:pPr>
      <w:r>
        <w:rPr>
          <w:rFonts w:ascii="Times New Roman" w:hAnsi="Times New Roman" w:cs="B Nazanin" w:eastAsia="B Nazanin"/>
          <w:b/>
          <w:sz w:val="22"/>
          <w:rtl w:val="1"/>
          <w:lang w:val="en-US" w:bidi="fa-IR" w:eastAsia="fa-IR"/>
        </w:rPr>
        <w:t xml:space="preserve">پرواز جمیعی۱</w:t>
      </w:r>
    </w:p>
    <w:p>
      <w:pPr>
        <w:pStyle w:val="Affiliations"/>
        <w:jc w:val="center"/>
        <w:bidi w:val="1"/>
      </w:pPr>
      <w:r>
        <w:rPr>
          <w:rFonts w:ascii="Times New Roman" w:hAnsi="Times New Roman" w:cs="B Nazanin" w:eastAsia="B Nazanin"/>
          <w:sz w:val="18"/>
          <w:rtl w:val="1"/>
          <w:lang w:val="en-US" w:bidi="fa-IR" w:eastAsia="fa-IR"/>
        </w:rPr>
        <w:t xml:space="preserve">۱پژوهشگر مستقل، مشهد، ایران</w:t>
      </w:r>
    </w:p>
    <w:p>
      <w:pPr>
        <w:pStyle w:val="Affiliations"/>
        <w:jc w:val="center"/>
        <w:bidi w:val="1"/>
      </w:pPr>
      <w:r>
        <w:rPr>
          <w:rFonts w:ascii="Times New Roman" w:hAnsi="Times New Roman" w:cs="B Nazanin" w:eastAsia="B Nazanin"/>
          <w:sz w:val="18"/>
          <w:rtl w:val="1"/>
          <w:lang w:val="en-US" w:bidi="fa-IR" w:eastAsia="fa-IR"/>
        </w:rPr>
        <w:t xml:space="preserve">Parvaz Jamei | parvaz.nic@gmail.com | ORCID: 0009-0002-9980-270X</w:t>
      </w:r>
    </w:p>
    <w:p>
      <w:pPr>
        <w:pStyle w:val="Abstract"/>
        <w:jc w:val="both"/>
        <w:bidi w:val="1"/>
      </w:pPr>
      <w:r>
        <w:rPr>
          <w:rFonts w:ascii="Times New Roman" w:hAnsi="Times New Roman" w:cs="B Nazanin" w:eastAsia="B Nazanin"/>
          <w:sz w:val="18"/>
          <w:rtl w:val="1"/>
          <w:lang w:val="en-US" w:bidi="fa-IR" w:eastAsia="fa-IR"/>
        </w:rPr>
        <w:t>چکیده - این ابزار بعد از اجرا مشخص می‌کند ادعا تا چه سطحی، از صفر تا پنج، با شواهد همان بسته پشتیبانی می‌شود. کودون‌تریس جنسیس اجرا را قطعی می‌کند، مداخله روی یال را ثبت می‌کند و ادعا را روی نردبان اعتبار حسابرسی می‌کند. موتور، هستهٔ اجراست و حوزه را نمی‌شناسد. پورت DomainProfile درگاهی است که پرونده را به بستهٔ شواهد تبدیل می‌کند. درگاه پزشکی واژگان ASME V&amp;V 40، راهنمای FDA ۲۰۲۳، IEC 62304 و IMDRF را روی همین نردبان می‌گذارد و برچسب را به‌جای تأیید نمی‌نشاند. ارزیابی یک جفت کنترل است. HE01 کمپینی اجراشده و بازپخش‌پذیر با سی بذر جفتی است: اختلاف انرژی نسبت به کنترل ۱۶٫۴۹ و بازهٔ BCa برابر [۱۴٫۲۵، ۱۹٫۱۴] بود و حسابرس سطح ۴ داد. جدول مدل تجهیز عمداً بدون شاهد اجرایی ساخته شد و در سطح صفر ماند. این فاصله را هیچ برچسبی پر نمی‌کند.</w:t>
      </w:r>
    </w:p>
    <w:p>
      <w:pPr>
        <w:pStyle w:val="Index"/>
        <w:jc w:val="both"/>
        <w:bidi w:val="1"/>
        <w:sectPr w:rsidR="00B96CBB" w:rsidRPr="00D53C11" w:rsidSect="00BF479B">
          <w:headerReference w:type="even" r:id="rId8"/>
          <w:headerReference w:type="default" r:id="rId9"/>
          <w:footerReference w:type="even" r:id="rId10"/>
          <w:footerReference w:type="default" r:id="rId11"/>
          <w:headerReference w:type="first" r:id="rId12"/>
          <w:endnotePr>
            <w:numFmt w:val="decimal"/>
          </w:endnotePr>
          <w:type w:val="continuous"/>
          <w:pgSz w:w="11906" w:h="16838" w:code="9"/>
          <w:pgMar w:top="1077" w:right="907" w:bottom="1440" w:left="907" w:header="851" w:footer="567" w:gutter="0"/>
          <w:cols w:space="374"/>
          <w:titlePg/>
          <w:bidi/>
          <w:rtlGutter/>
          <w:docGrid w:linePitch="272"/>
        </w:sectPr>
      </w:pPr>
      <w:r>
        <w:rPr>
          <w:rFonts w:ascii="Times New Roman" w:hAnsi="Times New Roman" w:cs="B Nazanin" w:eastAsia="B Nazanin"/>
          <w:sz w:val="18"/>
          <w:rtl w:val="1"/>
          <w:lang w:val="en-US" w:bidi="fa-IR" w:eastAsia="fa-IR"/>
        </w:rPr>
        <w:t xml:space="preserve">کلید واژه- اعتبارسنجی in silico، حسابرسی شواهد، مدل‌سازی محاسباتی، بازپخش‌پذیری</w:t>
      </w:r>
    </w:p>
    <w:p>
      <w:pPr>
        <w:pStyle w:val="Heading1"/>
        <w:jc w:val="right"/>
        <w:bidi w:val="1"/>
      </w:pPr>
      <w:r>
        <w:rPr>
          <w:rFonts w:ascii="Times New Roman" w:hAnsi="Times New Roman" w:cs="B Nazanin" w:eastAsia="B Nazanin"/>
          <w:b/>
          <w:sz w:val="22"/>
          <w:rtl w:val="1"/>
          <w:lang w:val="en-US" w:bidi="fa-IR" w:eastAsia="fa-IR"/>
        </w:rPr>
        <w:t xml:space="preserve">مقدمه</w:t>
      </w:r>
    </w:p>
    <w:p>
      <w:pPr>
        <w:jc w:val="both"/>
        <w:bidi w:val="1"/>
      </w:pPr>
      <w:r>
        <w:rPr>
          <w:rFonts w:ascii="Times New Roman" w:hAnsi="Times New Roman" w:cs="B Nazanin" w:eastAsia="B Nazanin"/>
          <w:sz w:val="20"/>
          <w:rtl w:val="1"/>
          <w:lang w:val="en-US" w:bidi="fa-IR" w:eastAsia="fa-IR"/>
        </w:rPr>
        <w:t xml:space="preserve">در مدل‌سازی محاسباتی برای تجهیزات و سامانه‌های پزشکی، پرسش اصلی «دقت مدل چند است؟» نیست؛ «شواهد موجود چه قوتی از ادعا را مجاز می‌کند؟» است. راهنمای سازمان غذا و داروی آمریکا در نوامبر ۲۰۲۳ چارچوبی ریسک‌آگاه برای اعتبار مدل‌سازی و شبیه‌سازی فیزیک‌محور در پروندهٔ تجهیز ارائه می‌کند و مدل‌های یادگیری ماشین مستقل را صراحتاً خارج از دامنه می‌گذارد [1]. هشت دستهٔ شواهد آن راهنما — راستی‌آزمایی کد، کالیبراسیون مدل، اعتبارسنجی نیمکت، اعتبارسنجی in vivo، اعتبارسنجی جمعیتی، رفتار پدیداری، معقول بودن مدل، و راستی‌آزمایی محاسبات همراه با کمی‌سازی عدم‌قطعیت — در این کار به‌صورت برچسب اعلامی روی پورت زیست‌پزشکی ذخیره می‌شوند. استاندارد ASME V&amp;V 40 اعتبار لازم را به پرسش مورد علاقه، زمینهٔ کاربرد و ریسک تصمیم گره می‌زند [2]. استاندارد NASA-STD-7009B ارزیابی قابلیت مدل و انتقال اعتبار نتایج را الزامی می‌کند [3]. پیوست چهارم قانون هوش مصنوعی اتحادیهٔ اروپا مستندسازی اعتبارسنجی را برای سامانه‌های مشمول مقرر می‌کند [4].</w:t>
      </w:r>
    </w:p>
    <w:p>
      <w:pPr>
        <w:jc w:val="both"/>
        <w:bidi w:val="1"/>
      </w:pPr>
      <w:r>
        <w:rPr>
          <w:rFonts w:ascii="Times New Roman" w:hAnsi="Times New Roman" w:cs="B Nazanin" w:eastAsia="B Nazanin"/>
          <w:sz w:val="20"/>
          <w:rtl w:val="1"/>
          <w:lang w:val="en-US" w:bidi="fa-IR" w:eastAsia="fa-IR"/>
        </w:rPr>
        <w:t xml:space="preserve">Viceconti و همکاران چارچوب آزمون‌های in silico را بر تعریف زمینهٔ کاربرد، تحلیل ریسک، و زنجیرهٔ راستی‌آزمایی–اعتبارسنجی–کمی‌سازی عدم‌قطعیت بنا می‌کنند [5]. Pathmanathan و همکاران همین منطق را برای آزمون بالینی درسیلیکو به‌صورت گردش‌کار سلسله‌مراتبی اعتبار زیرمدل‌ها گسترش داده‌اند [17]. سمپوزیوم مشترک FDA/MDIC در آوریل ۲۰۲۴ اعتبار CM&amp;S را در سراسر چرخهٔ عمر تجهیز، از جمله دوقلوی دیجیتال و آزمون درسیلیکو، جمع‌بندی کرده است [18]. با این حال هیچ‌یک از این منابع به‌تنهایی یک حسابرس نرم‌افزاری برای ادعای همراه یک مصنوع پژوهشی نیستند. شکاف عملی دو لایه دارد. نخست در گزارش پژوهش: از میان ۸۵ مقالهٔ مبتنی بر مدل زبانی در ICSE و ASE ۲۰۲۴، هیچ‌یک از پنج مصنوع اجرایی کاملاً بازتولید نشد [6]. دوم در نگهداری شواهد: نشان بازتولید به‌تنهایی هویت و قوت ادعا را پس از انتشار حفظ نمی‌کند.</w:t>
      </w:r>
    </w:p>
    <w:p>
      <w:pPr>
        <w:jc w:val="both"/>
        <w:bidi w:val="1"/>
      </w:pPr>
      <w:r>
        <w:rPr>
          <w:rFonts w:ascii="Times New Roman" w:hAnsi="Times New Roman" w:cs="B Nazanin" w:eastAsia="B Nazanin"/>
          <w:sz w:val="20"/>
          <w:rtl w:val="1"/>
          <w:lang w:val="en-US" w:bidi="fa-IR" w:eastAsia="fa-IR"/>
        </w:rPr>
        <w:t xml:space="preserve">سهم این مقاله سه بخش است: (۱) یکپارچه‌سازی اجرای قطعی، مداخلهٔ یال‌به‌یال و حسابرسی شواهد در بستری که موتور آن برای پزشکی بازنویسی نمی‌شود؛ (۲) پروفایل زیست‌پزشکی که همان نردبان را به واژگان تنظیم‌گری وصل می‌کند؛ (۳) ارزیابی کمّی روی کمپین تأییدی منتشرشده و یک نمونهٔ اعلامی مدل تجهیز. تازگی مورد ادعا در این ترکیب اجرایی است.</w:t>
      </w:r>
    </w:p>
    <w:p>
      <w:pPr>
        <w:pStyle w:val="Heading1"/>
        <w:jc w:val="right"/>
        <w:bidi w:val="1"/>
      </w:pPr>
      <w:r>
        <w:rPr>
          <w:rFonts w:ascii="Times New Roman" w:hAnsi="Times New Roman" w:cs="B Nazanin" w:eastAsia="B Nazanin"/>
          <w:b/>
          <w:sz w:val="22"/>
          <w:rtl w:val="1"/>
          <w:lang w:val="en-US" w:bidi="fa-IR" w:eastAsia="fa-IR"/>
        </w:rPr>
        <w:t xml:space="preserve">پیشینه و کارهای مرتبط</w:t>
      </w:r>
    </w:p>
    <w:p>
      <w:pPr>
        <w:jc w:val="both"/>
        <w:bidi w:val="1"/>
      </w:pPr>
      <w:r>
        <w:rPr>
          <w:rFonts w:ascii="Times New Roman" w:hAnsi="Times New Roman" w:cs="B Nazanin" w:eastAsia="B Nazanin"/>
          <w:sz w:val="20"/>
          <w:rtl w:val="1"/>
          <w:lang w:val="en-US" w:bidi="fa-IR" w:eastAsia="fa-IR"/>
        </w:rPr>
        <w:t xml:space="preserve">درجه‌بندی اعتبار پیشینهٔ طولانی دارد. ASME VVUQ 40.1-2026 یک گزارش فنی کامل برای شناسایی بدترین اندازهٔ سینی تیبیال در آزمون خستگی بر اساس ISO 14879-1 است [7]. IEC 62304 ردهٔ ایمنی نرم‌افزار پزشکی A/B/C را برای شدت فرایند چرخهٔ حیات تعریف می‌کند [8]. اسناد IMDRF زبان SiMD/SaMD و مشخصه‌سازی ریسک نرم‌افزار دستگاه را فراهم می‌سازند [9]، [10]. آنچه این مقاله می‌افزاید، اتصال اجرایی همان واژگان به یک نردبان قابل اجراست.</w:t>
      </w:r>
    </w:p>
    <w:p>
      <w:pPr>
        <w:jc w:val="both"/>
        <w:bidi w:val="1"/>
      </w:pPr>
      <w:r>
        <w:rPr>
          <w:rFonts w:ascii="Times New Roman" w:hAnsi="Times New Roman" w:cs="B Nazanin" w:eastAsia="B Nazanin"/>
          <w:sz w:val="20"/>
          <w:rtl w:val="1"/>
          <w:lang w:val="en-US" w:bidi="fa-IR" w:eastAsia="fa-IR"/>
        </w:rPr>
        <w:t xml:space="preserve">در محاسبات تکاملی، آویدا بستری کلاسیک برای برنامه‌های خودتکثیرشونده است [11]. آداپتور پروندهٔ .dat آن اسکلت است. ادبیات کیفیت‌تنوع بر ثبات عملکرد در محیط نامطمئن تأکید دارد [12] که با بازپخش بیت‌به‌بیت یک اجرای نرم‌افزار یکی نیست. توصیف مدل از منطق مستندسازی ODD بهره می‌برد [13]. درخواست asme_vv40_passed در پیکربندی ConfigurationError می‌دهد.</w:t>
      </w:r>
    </w:p>
    <w:p>
      <w:pPr>
        <w:pStyle w:val="Heading1"/>
        <w:jc w:val="right"/>
        <w:bidi w:val="1"/>
      </w:pPr>
      <w:r>
        <w:rPr>
          <w:rFonts w:ascii="Times New Roman" w:hAnsi="Times New Roman" w:cs="B Nazanin" w:eastAsia="B Nazanin"/>
          <w:b/>
          <w:sz w:val="22"/>
          <w:rtl w:val="1"/>
          <w:lang w:val="en-US" w:bidi="fa-IR" w:eastAsia="fa-IR"/>
        </w:rPr>
        <w:t xml:space="preserve">معماری سامانه</w:t>
      </w:r>
    </w:p>
    <w:p>
      <w:pPr>
        <w:pStyle w:val="Heading2"/>
        <w:jc w:val="right"/>
        <w:bidi w:val="1"/>
      </w:pPr>
      <w:r>
        <w:rPr>
          <w:rFonts w:ascii="Times New Roman" w:hAnsi="Times New Roman" w:cs="B Nazanin" w:eastAsia="B Nazanin"/>
          <w:b/>
          <w:sz w:val="20"/>
          <w:rtl w:val="1"/>
          <w:lang w:val="en-US" w:bidi="fa-IR" w:eastAsia="fa-IR"/>
        </w:rPr>
        <w:t xml:space="preserve">موتور و جداسازی پورت</w:t>
      </w:r>
    </w:p>
    <w:p>
      <w:pPr>
        <w:jc w:val="both"/>
        <w:bidi w:val="1"/>
      </w:pPr>
      <w:r>
        <w:rPr>
          <w:rFonts w:ascii="Times New Roman" w:hAnsi="Times New Roman" w:cs="B Nazanin" w:eastAsia="B Nazanin"/>
          <w:sz w:val="20"/>
          <w:rtl w:val="1"/>
          <w:lang w:val="en-US" w:bidi="fa-IR" w:eastAsia="fa-IR"/>
        </w:rPr>
        <w:t xml:space="preserve">هسته از ژنوم، عامل، جهان و زمان‌بند تشکیل شده است. تنظیمات ساختاریافته هنگام ایجاد اعتبارسنجی می‌شوند؛ گزینهٔ جدید با پیش‌فرض خاموش وارد می‌شود تا پیکربندی‌های پیشین پایدار بمانند. مسیر سازوکار از ژنوم و فنوتیپ به کنش، پیامد منابع، تجربه، کپسول دارای منشأ، انتقال، پذیرش، اعمال در سیاست گیرنده، بقا و تولیدمثل می‌رسد. شناسهٔ یال، دیجست‌های پیش و پس، و شمارنده‌های تلاش، پذیرش و اعمال ثبت می‌شوند تا انتقال پیام با تغییر رفتار یکی گرفته نشود. نسخهٔ نرم‌افزار از پروندهٔ پیکربندی پروژه خوانده می‌شود و در هویت بستهٔ شواهد سخت‌کد نیست.</w:t>
      </w:r>
    </w:p>
    <w:p>
      <w:pPr>
        <w:jc w:val="both"/>
        <w:bidi w:val="1"/>
      </w:pPr>
      <w:r>
        <w:rPr>
          <w:rFonts w:ascii="Times New Roman" w:hAnsi="Times New Roman" w:cs="B Nazanin" w:eastAsia="B Nazanin"/>
          <w:sz w:val="20"/>
          <w:rtl w:val="1"/>
          <w:lang w:val="en-US" w:bidi="fa-IR" w:eastAsia="fa-IR"/>
        </w:rPr>
        <w:t xml:space="preserve">موتور حوزه نمی‌شناسد. پزشکی، سخت‌افزار و زندگی مصنوعی از پورت متصل می‌شوند: آداپتور بستهٔ شواهد ClaimGate می‌سازد و DomainProfile برچسب حوزه را حمل می‌کند. افزودن حوزه یعنی پروفایل یا آداپتور جدید، نه انشعاب موتور. شکل ۱ مسیر مفهومی را نشان می‌دهد: آداپتور، بستهٔ شواهد، حسابرس، و نردبان صفر تا پنج؛ موتور فقط تیک، دیجست و بازپخش را اجرا می‌کند [14].</w:t>
      </w:r>
    </w:p>
    <w:p>
      <w:pPr>
        <w:pStyle w:val="FigurePosition"/>
        <w:jc w:val="center"/>
        <w:bidi w:val="1"/>
      </w:pPr>
      <w:r>
        <w:drawing>
          <wp:inline xmlns:a="http://schemas.openxmlformats.org/drawingml/2006/main" xmlns:pic="http://schemas.openxmlformats.org/drawingml/2006/picture">
            <wp:extent cx="2916000" cy="1044900"/>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16000" cy="1044900"/>
                    </a:xfrm>
                    <a:prstGeom prst="rect"/>
                  </pic:spPr>
                </pic:pic>
              </a:graphicData>
            </a:graphic>
          </wp:inline>
        </w:drawing>
      </w:r>
    </w:p>
    <w:p>
      <w:pPr>
        <w:pStyle w:val="Caption"/>
        <w:jc w:val="center"/>
        <w:bidi w:val="1"/>
      </w:pPr>
      <w:r>
        <w:rPr>
          <w:rFonts w:ascii="Times New Roman" w:hAnsi="Times New Roman" w:cs="B Nazanin" w:eastAsia="B Nazanin"/>
          <w:i/>
          <w:sz w:val="16"/>
          <w:rtl w:val="1"/>
          <w:lang w:val="en-US" w:bidi="fa-IR" w:eastAsia="fa-IR"/>
        </w:rPr>
        <w:t xml:space="preserve">شکل ۱: معماری پورت‌ها. موتور حوزه نمی‌شناسد؛ حسابرس روی بستهٔ شواهد کار می‌کند.</w:t>
      </w:r>
    </w:p>
    <w:p>
      <w:pPr>
        <w:pStyle w:val="TableTitle"/>
        <w:jc w:val="center"/>
        <w:bidi w:val="1"/>
      </w:pPr>
      <w:r>
        <w:rPr>
          <w:rFonts w:ascii="Times New Roman" w:hAnsi="Times New Roman" w:cs="B Nazanin" w:eastAsia="B Nazanin"/>
          <w:b/>
          <w:i/>
          <w:sz w:val="16"/>
          <w:rtl w:val="1"/>
          <w:lang w:val="en-US" w:bidi="fa-IR" w:eastAsia="fa-IR"/>
        </w:rPr>
        <w:t xml:space="preserve">جدول ۱: پورت‌ها؛ حوزه در آداپتور است نه در موتور</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پورت</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ماژول</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نقش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کمپین بومی HE01</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adapters.codontrace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اجرای جهان</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کمپین HE02 / HE03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adapters.codontrace_he02/03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خواندن مصنوع</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Avida (.dat)</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adapters.avida</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اسکلت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MABE2 (CSV)</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adapters.mabe2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اسکلت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جدول امتیاز اعلامی</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claimgate.domain</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بدون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برچسب زیست‌پزشکی</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adapters.biomedical</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بدون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پل ESP32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adapters.esp32_bridge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نمونهٔ اختیاری</w:t>
            </w:r>
          </w:p>
        </w:tc>
      </w:tr>
    </w:tbl>
    <w:p>
      <w:pPr>
        <w:jc w:val="both"/>
        <w:bidi w:val="1"/>
      </w:pPr>
      <w:r>
        <w:rPr>
          <w:rFonts w:ascii="Times New Roman" w:hAnsi="Times New Roman" w:cs="B Nazanin" w:eastAsia="B Nazanin"/>
          <w:sz w:val="20"/>
          <w:rtl w:val="1"/>
          <w:lang w:val="en-US" w:bidi="fa-IR" w:eastAsia="fa-IR"/>
        </w:rPr>
        <w:t xml:space="preserve">الگوریتم حسابرسی در سطح معماری پنج گام دارد: (۱) آداپتور پرونده یا جدول را به بستهٔ claimgate_bundle_v1 برمی‌گرداند؛ (۲) نقش بازوها به پنج نقش عمومی نگاشته می‌شود — درمان، حذف سازوکار، خاموشی کانال، کنترل منفی، و دوز؛ (۳) دیجست پیکربندی و در صورت وجود دیجست پیش‌ثبت‌نامه بررسی می‌شود؛ (۴) بازپخش، مقایسه‌های جفتی، بازهٔ اطمینان و شمار بذر خوانده می‌شوند؛ (۵) حسابرس بالاترین سطحی را برمی‌گرداند که همهٔ شروطش برقرار است.</w:t>
      </w:r>
    </w:p>
    <w:p>
      <w:pPr>
        <w:pStyle w:val="Heading2"/>
        <w:jc w:val="right"/>
        <w:bidi w:val="1"/>
      </w:pPr>
      <w:r>
        <w:rPr>
          <w:rFonts w:ascii="Times New Roman" w:hAnsi="Times New Roman" w:cs="B Nazanin" w:eastAsia="B Nazanin"/>
          <w:b/>
          <w:sz w:val="20"/>
          <w:rtl w:val="1"/>
          <w:lang w:val="en-US" w:bidi="fa-IR" w:eastAsia="fa-IR"/>
        </w:rPr>
        <w:t xml:space="preserve">حسابرس و نردبان شواهد</w:t>
      </w:r>
    </w:p>
    <w:p>
      <w:pPr>
        <w:jc w:val="both"/>
        <w:bidi w:val="1"/>
      </w:pPr>
      <w:r>
        <w:rPr>
          <w:rFonts w:ascii="Times New Roman" w:hAnsi="Times New Roman" w:cs="B Nazanin" w:eastAsia="B Nazanin"/>
          <w:sz w:val="20"/>
          <w:rtl w:val="1"/>
          <w:lang w:val="en-US" w:bidi="fa-IR" w:eastAsia="fa-IR"/>
        </w:rPr>
        <w:t xml:space="preserve">حسابرس codontrace.claimgate از موتور جداست. نردبان عمومی شش سطح دارد. سطح ۳ به مداخله یا حذف یال، کنترل منفی و شواهد بازپخش نیاز دارد. سطح ۴ بازهٔ اطمینان و حداقل شانزده بذر را می‌افزاید. سطح ۵ به آرشیو، محدودیت‌های مستند و شواهد آماری و مداخله‌ای وابسته است. این آستانه‌ها سیاست همین پیاده‌سازی‌اند. برابری خروجی بازوها به‌تنهایی یک نتیجهٔ صفر معتبر را رد نمی‌کند؛ بی‌اعتباری آزمون وقتی اعلام می‌شود که بررسی تحقق مداخله نیز برقرار نباشد.</w:t>
      </w:r>
    </w:p>
    <w:p>
      <w:pPr>
        <w:pStyle w:val="Heading2"/>
        <w:jc w:val="right"/>
        <w:bidi w:val="1"/>
      </w:pPr>
      <w:r>
        <w:rPr>
          <w:rFonts w:ascii="Times New Roman" w:hAnsi="Times New Roman" w:cs="B Nazanin" w:eastAsia="B Nazanin"/>
          <w:b/>
          <w:sz w:val="20"/>
          <w:rtl w:val="1"/>
          <w:lang w:val="en-US" w:bidi="fa-IR" w:eastAsia="fa-IR"/>
        </w:rPr>
        <w:t xml:space="preserve">آداپتورها</w:t>
      </w:r>
    </w:p>
    <w:p>
      <w:pPr>
        <w:jc w:val="both"/>
        <w:bidi w:val="1"/>
      </w:pPr>
      <w:r>
        <w:rPr>
          <w:rFonts w:ascii="Times New Roman" w:hAnsi="Times New Roman" w:cs="B Nazanin" w:eastAsia="B Nazanin"/>
          <w:sz w:val="20"/>
          <w:rtl w:val="1"/>
          <w:lang w:val="en-US" w:bidi="fa-IR" w:eastAsia="fa-IR"/>
        </w:rPr>
        <w:t xml:space="preserve">آداپتور بومی کمپین HE01 مصنوع JSON را می‌خواند و نقش‌های محلی را با canonical_role به طرح‌وارهٔ عمومی برمی‌گرداند؛ بایت مصنوع عوض نمی‌شود. آداپتورهای اسکلت Avida و MABE2 پروندهٔ .dat و CSV را می‌خوانند. آداپتور زیست‌پزشکی جدول امتیاز اعلامی را با زمینهٔ کاربرد و ریسک مدل پر می‌کند. پل ESP32 یک پورت سخت‌افزاری اختیاری است. پین پرونده‌های متنی با sha256_text_file پس از یکسان‌سازی CRLF→LF انجام می‌شود؛ هش مصنوع دودویی همچنان Path.read_bytes() است. پروتکل آماری پیش‌فرض، جایگشت علامت جفتی با تصحیح Holm و بازهٔ BCa است. بوت‌استرپ studentized و شمارش دقیق علامت برای n≤۴۰ اختیاری‌اند تا پین کمپین نشکند.</w:t>
      </w:r>
    </w:p>
    <w:p>
      <w:pPr>
        <w:pStyle w:val="Heading1"/>
        <w:jc w:val="right"/>
        <w:bidi w:val="1"/>
      </w:pPr>
      <w:r>
        <w:rPr>
          <w:rFonts w:ascii="Times New Roman" w:hAnsi="Times New Roman" w:cs="B Nazanin" w:eastAsia="B Nazanin"/>
          <w:b/>
          <w:sz w:val="22"/>
          <w:rtl w:val="1"/>
          <w:lang w:val="en-US" w:bidi="fa-IR" w:eastAsia="fa-IR"/>
        </w:rPr>
        <w:t xml:space="preserve">پروفایل زیست‌پزشکی</w:t>
      </w:r>
    </w:p>
    <w:p>
      <w:pPr>
        <w:jc w:val="both"/>
        <w:bidi w:val="1"/>
      </w:pPr>
      <w:r>
        <w:rPr>
          <w:rFonts w:ascii="Times New Roman" w:hAnsi="Times New Roman" w:cs="B Nazanin" w:eastAsia="B Nazanin"/>
          <w:sz w:val="20"/>
          <w:rtl w:val="1"/>
          <w:lang w:val="en-US" w:bidi="fa-IR" w:eastAsia="fa-IR"/>
        </w:rPr>
        <w:t xml:space="preserve">اتصال پزشکی از طریق DomainProfile است (alife / biomedical / hardware) [15]. اعلام simd_declared یا samd_declared زبان IMDRF را روی بسته ثبت می‌کند. راهنمای ۲۰۲۳ FDA برای مدل فیزیک‌محور یا مکانیستی است؛ اگر physics_based نادرست باشد، دامنه out_of_scope_standalone_ml می‌شود حتی اگر دسته‌های شواهد اعلام شده باشند. رشته‌هایی مانند asme_vv40_passed، fda_cleared، clinical_validated و iec_62304_certified در پیکربندی پذیرفته نمی‌شوند. این رد شدن یک ویژگی طراحی است: حسابرس اجازه نمی‌دهد برچسب تأیید از یک جدول اعلامی کسب شود.</w:t>
      </w:r>
    </w:p>
    <w:p>
      <w:pPr>
        <w:pStyle w:val="TableTitle"/>
        <w:jc w:val="center"/>
        <w:bidi w:val="1"/>
      </w:pPr>
      <w:r>
        <w:rPr>
          <w:rFonts w:ascii="Times New Roman" w:hAnsi="Times New Roman" w:cs="B Nazanin" w:eastAsia="B Nazanin"/>
          <w:b/>
          <w:i/>
          <w:sz w:val="16"/>
          <w:rtl w:val="1"/>
          <w:lang w:val="en-US" w:bidi="fa-IR" w:eastAsia="fa-IR"/>
        </w:rPr>
        <w:t xml:space="preserve">جدول ۲: نگاشت واژگان تنظیم‌گری به برچسب‌های اعلامی</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مفهوم استاندارد</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میدان اعلامی</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t xml:space="preserve">رفتار پورت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پرسش مورد علاقه (QOI)</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question_of_interest</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ثبت پرسش</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زمینهٔ کاربرد (COU)</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context_of_use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ثبت زمینهٔ کاربرد</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تأثیر مدل / پیامد تصمیم</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model_influence / decision_consequence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ریسک تصمیم</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ریسک مدل</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model_risk</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ریسک مدل</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دسته‌های شواهد FDA 2023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fda_2023_evidence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دستهٔ شواهد</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ردهٔ IEC 62304</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iec_62304_class</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ردهٔ نرم‌افزار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 IMDRF N12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imdrf_n12_category</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دستهٔ N12</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SiMD در برابر SaMD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device_software_kind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SiMD/SaMD</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اعتبار در برابر ریسک</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نردبان ۰–۵ روی ادعا</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درجهٔ ادعا روی نردبان</w:t>
            </w:r>
          </w:p>
        </w:tc>
      </w:tr>
    </w:tbl>
    <w:p>
      <w:pPr>
        <w:jc w:val="both"/>
        <w:bidi w:val="1"/>
      </w:pPr>
      <w:r>
        <w:rPr>
          <w:rFonts w:ascii="Times New Roman" w:hAnsi="Times New Roman" w:cs="B Nazanin" w:eastAsia="B Nazanin"/>
          <w:sz w:val="20"/>
          <w:rtl w:val="1"/>
          <w:lang w:val="en-US" w:bidi="fa-IR" w:eastAsia="fa-IR"/>
        </w:rPr>
        <w:t xml:space="preserve">جدول ۳ یک نمونهٔ اعلامی را نشان می‌دهد. اعداد آن برای نمایش قالب بسته است. سطح نردبان روی چنین جدولی فقط درجهٔ یک ادعاست.</w:t>
      </w:r>
    </w:p>
    <w:p>
      <w:pPr>
        <w:pStyle w:val="TableTitle"/>
        <w:jc w:val="center"/>
        <w:bidi w:val="1"/>
      </w:pPr>
      <w:r>
        <w:rPr>
          <w:rFonts w:ascii="Times New Roman" w:hAnsi="Times New Roman" w:cs="B Nazanin" w:eastAsia="B Nazanin"/>
          <w:b/>
          <w:i/>
          <w:sz w:val="16"/>
          <w:rtl w:val="1"/>
          <w:lang w:val="en-US" w:bidi="fa-IR" w:eastAsia="fa-IR"/>
        </w:rPr>
        <w:t xml:space="preserve">جدول ۳: نمونهٔ اعلامی مدل تجهیز (غیر بالینی)</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میدان</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مقدار نمونه</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نوع</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زمینهٔ کاربرد</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جدول اعلامی؛ بدون ایمپلنت</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تأثیر / پیامد</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۲ / ۳</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device_software_kind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simd_declared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ردهٔ IEC 62304</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B</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 IMDRF N12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II</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شواهد FDA 2023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۱، ۳، ۸</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physics_based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خیر → خارج از دامنهٔ راهنما</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اجرایی</w:t>
            </w:r>
          </w:p>
        </w:tc>
      </w:tr>
    </w:tbl>
    <w:p>
      <w:pPr>
        <w:pStyle w:val="Heading1"/>
        <w:jc w:val="right"/>
        <w:bidi w:val="1"/>
      </w:pPr>
      <w:r>
        <w:rPr>
          <w:rFonts w:ascii="Times New Roman" w:hAnsi="Times New Roman" w:cs="B Nazanin" w:eastAsia="B Nazanin"/>
          <w:b/>
          <w:sz w:val="22"/>
          <w:rtl w:val="1"/>
          <w:lang w:val="en-US" w:bidi="fa-IR" w:eastAsia="fa-IR"/>
        </w:rPr>
        <w:t xml:space="preserve">ارزیابی</w:t>
      </w:r>
    </w:p>
    <w:p>
      <w:pPr>
        <w:pStyle w:val="Heading2"/>
        <w:jc w:val="right"/>
        <w:bidi w:val="1"/>
      </w:pPr>
      <w:r>
        <w:rPr>
          <w:rFonts w:ascii="Times New Roman" w:hAnsi="Times New Roman" w:cs="B Nazanin" w:eastAsia="B Nazanin"/>
          <w:b/>
          <w:sz w:val="20"/>
          <w:rtl w:val="1"/>
          <w:lang w:val="en-US" w:bidi="fa-IR" w:eastAsia="fa-IR"/>
        </w:rPr>
        <w:t xml:space="preserve">کمپین تأییدی HE01</w:t>
      </w:r>
    </w:p>
    <w:p>
      <w:pPr>
        <w:jc w:val="both"/>
        <w:bidi w:val="1"/>
      </w:pPr>
      <w:r>
        <w:rPr>
          <w:rFonts w:ascii="Times New Roman" w:hAnsi="Times New Roman" w:cs="B Nazanin" w:eastAsia="B Nazanin"/>
          <w:sz w:val="20"/>
          <w:rtl w:val="1"/>
          <w:lang w:val="en-US" w:bidi="fa-IR" w:eastAsia="fa-IR"/>
        </w:rPr>
        <w:t xml:space="preserve">کمپین HE01 یک طرح پیش‌ثبت‌شده برای سوگیری منشأ کپسول است. سی بذر جفتی، بازوی درمان source_bias_on را می‌سنجد. کنترل منفی تأییدی capsules_content_null است؛ capsules_off مسیر انتقال را حذف می‌کند؛ source_bias_off کانال را روشن نگه می‌دارد و سوگیری منشأ را برمی‌دارد؛ capsules_shuffled حساسیت به بر زدن محتواست. نردبان دوز اوراکل (oracle_capsule) الگوی پاسخ به شدت را جدا نگه می‌دارد. سنجهٔ اولیه میانگین ATP پایانی گیرنده است؛ این کمیت انرژی شبیه‌سازی‌شده است. سقف ادعا در مصنوع منتشرشده intervention_supported است. پروتکل آماری پیش‌فرض، جایگشت علامت جفتی با تصحیح Holm و بازهٔ BCa است.</w:t>
      </w:r>
    </w:p>
    <w:p>
      <w:pPr>
        <w:jc w:val="both"/>
        <w:bidi w:val="1"/>
      </w:pPr>
      <w:r>
        <w:rPr>
          <w:rFonts w:ascii="Times New Roman" w:hAnsi="Times New Roman" w:cs="B Nazanin" w:eastAsia="B Nazanin"/>
          <w:sz w:val="20"/>
          <w:rtl w:val="1"/>
          <w:lang w:val="en-US" w:bidi="fa-IR" w:eastAsia="fa-IR"/>
        </w:rPr>
        <w:t xml:space="preserve">مصنوع منتشرشدهٔ results_v7.json (پیشوند دیجست 28f812c5) سه کنتراست جفتی را گزارش می‌کند [16]. در برابر source_bias_off تفاضل ۱۶٫۴۹ واحد، p خام جایگشت ۴٫۹۹۹۷۵×۱۰⁻⁵، p تصحیح‌شدهٔ Holm ۱٫۵۰×۱۰⁻⁴ و بازهٔ BCa [۱۴٫۲۵، ۱۹٫۱۴] است. در برابر capsules_content_null و capsules_off تفاضل ۳۰٫۶۷ واحد با بازهٔ [۲۶٫۰۳، ۳۵٫۳۲] است. کنتراست در برابر کنترل محتوایی، محتوا و سوگیری منشأ را هم‌زمان تغییر می‌دهد؛ کنتراست در برابر source_bias_off کانال را ثابت نگه می‌دارد. بازتحلیل اختیاری همان ۳۰ تفاضل با بوت‌استرپ studentized بازهٔ بی‌دروازه را حدود ۱۴٫۰۵–۱۹٫۳۰ می‌دهد؛ این حساسیت روش است نه بازتقطیع فایل v7.</w:t>
      </w:r>
    </w:p>
    <w:p>
      <w:pPr>
        <w:pStyle w:val="FigurePosition"/>
        <w:jc w:val="center"/>
        <w:bidi w:val="1"/>
      </w:pPr>
      <w:r>
        <w:drawing>
          <wp:inline xmlns:a="http://schemas.openxmlformats.org/drawingml/2006/main" xmlns:pic="http://schemas.openxmlformats.org/drawingml/2006/picture">
            <wp:extent cx="2916000" cy="874800"/>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16000" cy="874800"/>
                    </a:xfrm>
                    <a:prstGeom prst="rect"/>
                  </pic:spPr>
                </pic:pic>
              </a:graphicData>
            </a:graphic>
          </wp:inline>
        </w:drawing>
      </w:r>
    </w:p>
    <w:p>
      <w:pPr>
        <w:pStyle w:val="Caption"/>
        <w:jc w:val="center"/>
        <w:bidi w:val="1"/>
      </w:pPr>
      <w:r>
        <w:rPr>
          <w:rFonts w:ascii="Times New Roman" w:hAnsi="Times New Roman" w:cs="B Nazanin" w:eastAsia="B Nazanin"/>
          <w:i/>
          <w:sz w:val="16"/>
          <w:rtl w:val="1"/>
          <w:lang w:val="en-US" w:bidi="fa-IR" w:eastAsia="fa-IR"/>
        </w:rPr>
        <w:t xml:space="preserve">شکل ۲: تفاضل میانگین انرژی و بازهٔ ۹۵٪ در ۳۰ بذر جفتی.</w:t>
      </w:r>
    </w:p>
    <w:p>
      <w:pPr>
        <w:pStyle w:val="TableTitle"/>
        <w:jc w:val="center"/>
        <w:bidi w:val="1"/>
      </w:pPr>
      <w:r>
        <w:rPr>
          <w:rFonts w:ascii="Times New Roman" w:hAnsi="Times New Roman" w:cs="B Nazanin" w:eastAsia="B Nazanin"/>
          <w:b/>
          <w:i/>
          <w:sz w:val="16"/>
          <w:rtl w:val="1"/>
          <w:lang w:val="en-US" w:bidi="fa-IR" w:eastAsia="fa-IR"/>
        </w:rPr>
        <w:t xml:space="preserve">جدول ۴: خلاصهٔ کمپین تأییدی HE01 از مصنوع v7 (بازتقطیع نشده)</w:t>
      </w:r>
    </w:p>
    <w:tbl>
      <w:tblPr>
        <w:tblStyle w:val="TableGrid"/>
        <w:tblW w:type="auto" w:w="0"/>
        <w:jc w:val="center"/>
        <w:tblLook w:firstColumn="1" w:firstRow="1" w:lastColumn="0" w:lastRow="0" w:noHBand="0" w:noVBand="1" w:val="04A0"/>
        <w:bidiVisual w:val="1"/>
        <w:tblW w:w="5000" w:type="pct"/>
      </w:tblPr>
      <w:tblGrid>
        <w:gridCol w:w="5046"/>
        <w:gridCol w:w="5046"/>
      </w:tblGrid>
      <w:tr>
        <w:tc>
          <w:tcPr>
            <w:tcW w:type="dxa" w:w="5046"/>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6"/>
                <w:rtl w:val="1"/>
                <w:lang w:val="en-US" w:bidi="fa-IR" w:eastAsia="fa-IR"/>
              </w:rPr>
              <w:t>سنجه</w:t>
            </w:r>
          </w:p>
        </w:tc>
        <w:tc>
          <w:tcPr>
            <w:tcW w:type="dxa" w:w="5046"/>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6"/>
                <w:rtl w:val="1"/>
                <w:lang w:val="en-US" w:bidi="fa-IR" w:eastAsia="fa-IR"/>
              </w:rPr>
              <w:t>مقدار منتشرشده</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تعداد بذر جفتی</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۳۰</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سنجهٔ اولیه</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میانگین ATP پایانی گیرنده</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source_bias_on در برابر source_bias_off</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Δ = ۱۶٫۴۹ ؛ BCa [۱۴٫۲۵، ۱۹٫۱۴]</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source_bias_on در برابر capsules_off / content_null</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Δ = ۳۰٫۶۷ ؛ BCa [۲۶٫۰۳، ۳۵٫۳۲]</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p جایگشت علامت (خام / Holm)</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۴٫۹۹۹۷۵×۱۰⁻⁵ / ۱٫۵۰×۱۰⁻⁴</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سقف ادعا در مصنوع</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intervention_supported</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بازپخش</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در بستهٔ شواهد ثبت می‌شود</w:t>
            </w:r>
          </w:p>
        </w:tc>
      </w:tr>
    </w:tbl>
    <w:p>
      <w:pPr>
        <w:pStyle w:val="Heading2"/>
        <w:jc w:val="right"/>
        <w:bidi w:val="1"/>
      </w:pPr>
      <w:r>
        <w:rPr>
          <w:rFonts w:ascii="Times New Roman" w:hAnsi="Times New Roman" w:cs="B Nazanin" w:eastAsia="B Nazanin"/>
          <w:b/>
          <w:sz w:val="20"/>
          <w:rtl w:val="1"/>
          <w:lang w:val="en-US" w:bidi="fa-IR" w:eastAsia="fa-IR"/>
        </w:rPr>
        <w:t>کنترل منفی، بدون شاهد اجرایی</w:t>
      </w:r>
    </w:p>
    <w:p>
      <w:pPr>
        <w:jc w:val="both"/>
        <w:bidi w:val="1"/>
      </w:pPr>
      <w:r>
        <w:rPr>
          <w:rFonts w:ascii="Times New Roman" w:hAnsi="Times New Roman" w:cs="B Nazanin" w:eastAsia="B Nazanin"/>
          <w:sz w:val="20"/>
          <w:rtl w:val="1"/>
          <w:lang w:val="en-US" w:bidi="fa-IR" w:eastAsia="fa-IR"/>
        </w:rPr>
        <w:t xml:space="preserve">سیاست نردبان برای بسته‌ای با بازپخش، مداخله، کنترل منفی، بازه و حداقل شانزده بذر سطح ۴ را مجاز می‌کند؛ مصنوع HE01 همین شروط را حمل می‌کند. روی نمونهٔ جدول ۳ — بدون بازپخش و بدون مداخلهٔ یال — سطح در پایین نردبان می‌ماند. واژگان تنظیم‌گری سقف ادعا را بالا نمی‌برند.</w:t>
      </w:r>
    </w:p>
    <w:p>
      <w:pPr>
        <w:pStyle w:val="Heading2"/>
        <w:jc w:val="right"/>
        <w:bidi w:val="1"/>
      </w:pPr>
      <w:r>
        <w:rPr>
          <w:rFonts w:ascii="Times New Roman" w:hAnsi="Times New Roman" w:cs="B Nazanin" w:eastAsia="B Nazanin"/>
          <w:b/>
          <w:sz w:val="20"/>
          <w:rtl w:val="1"/>
          <w:lang w:val="en-US" w:bidi="fa-IR" w:eastAsia="fa-IR"/>
        </w:rPr>
        <w:t xml:space="preserve">نسبت این کار با V&amp;V 40</w:t>
      </w:r>
    </w:p>
    <w:p>
      <w:pPr>
        <w:jc w:val="both"/>
        <w:bidi w:val="1"/>
      </w:pPr>
      <w:r>
        <w:rPr>
          <w:rFonts w:ascii="Times New Roman" w:hAnsi="Times New Roman" w:cs="B Nazanin" w:eastAsia="B Nazanin"/>
          <w:sz w:val="20"/>
          <w:rtl w:val="1"/>
          <w:lang w:val="en-US" w:bidi="fa-IR" w:eastAsia="fa-IR"/>
        </w:rPr>
        <w:t xml:space="preserve">ASME V&amp;V 40 یک فرایند اعتبار مدل برای زمینهٔ کاربرد مشخص است. آنچه این نرم‌افزار فراهم می‌کند، ثبت پرسش، زمینه، تأثیر و پیامد به‌صورت اعلامی و سپس درجه‌بندی ادعای همراه بسته است. اگر کاربر مدل فیزیک‌محور واقعی با آزمون نیمکت و in vivo داشته باشد، همان شواهد بیرون از این نرم‌افزار جمع می‌شوند و به‌صورت برچسب دستهٔ FDA ۲۰۲۳ اعلام می‌گردند. کودون‌تریس جنسیس مکمل حسابرسی ادعاست. نسخه از پیکربندی پروژه خوانده می‌شود؛ این مقاله اعداد کمپین را با نوک شاخه بازتقطیع نمی‌کند.</w:t>
      </w:r>
    </w:p>
    <w:p>
      <w:pPr>
        <w:pStyle w:val="Heading1"/>
        <w:jc w:val="right"/>
        <w:bidi w:val="1"/>
      </w:pPr>
      <w:r>
        <w:rPr>
          <w:rFonts w:ascii="Times New Roman" w:hAnsi="Times New Roman" w:cs="B Nazanin" w:eastAsia="B Nazanin"/>
          <w:b/>
          <w:sz w:val="22"/>
          <w:rtl w:val="1"/>
          <w:lang w:val="en-US" w:bidi="fa-IR" w:eastAsia="fa-IR"/>
        </w:rPr>
        <w:t xml:space="preserve">محدودیت‌ها</w:t>
      </w:r>
    </w:p>
    <w:p>
      <w:pPr>
        <w:jc w:val="both"/>
        <w:bidi w:val="1"/>
      </w:pPr>
      <w:r>
        <w:rPr>
          <w:rFonts w:ascii="Times New Roman" w:hAnsi="Times New Roman" w:cs="B Nazanin" w:eastAsia="B Nazanin"/>
          <w:sz w:val="20"/>
          <w:rtl w:val="1"/>
          <w:lang w:val="en-US" w:bidi="fa-IR" w:eastAsia="fa-IR"/>
        </w:rPr>
        <w:t xml:space="preserve">دامنهٔ این مطالعه، حسابرسی ادعای همراه مصنوع پژوهشی است. راهنمای FDA ۲۰۲۳ شامل مدل یادگیری ماشین مستقل نمی‌شود. حسابرس ارزیاب بیرونی نیست. در HE01 کنتراست محتوایی مداخلهٔ مرکب دارد و سه بازو روی سنجهٔ انرژی اشباع شده‌اند. آداپتورهای Avida و MABE2 اسکلت‌اند. بوت‌استرپ studentized و شمارش دقیق علامت پیش‌فرض نیستند.</w:t>
      </w:r>
    </w:p>
    <w:p>
      <w:pPr>
        <w:pStyle w:val="Heading1"/>
        <w:jc w:val="right"/>
        <w:bidi w:val="1"/>
      </w:pPr>
      <w:r>
        <w:rPr>
          <w:rFonts w:ascii="Times New Roman" w:hAnsi="Times New Roman" w:cs="B Nazanin" w:eastAsia="B Nazanin"/>
          <w:b/>
          <w:sz w:val="22"/>
          <w:rtl w:val="1"/>
          <w:lang w:val="en-US" w:bidi="fa-IR" w:eastAsia="fa-IR"/>
        </w:rPr>
        <w:t xml:space="preserve">نتیجه‌گیری</w:t>
      </w:r>
    </w:p>
    <w:p>
      <w:pPr>
        <w:jc w:val="both"/>
        <w:bidi w:val="1"/>
      </w:pPr>
      <w:r>
        <w:rPr>
          <w:rFonts w:ascii="Times New Roman" w:hAnsi="Times New Roman" w:cs="B Nazanin" w:eastAsia="B Nazanin"/>
          <w:sz w:val="20"/>
          <w:rtl w:val="1"/>
          <w:lang w:val="en-US" w:bidi="fa-IR" w:eastAsia="fa-IR"/>
        </w:rPr>
        <w:t>فاصلهٔ کنترل مثبت و کنترل منفی را هیچ برچسبی پر نمی‌کند. HE01، کمپین اجراشده با سی بذر و بازه، به سطح ۴ رسید. جدول مدل تجهیز، با برچسب تنظیم‌گری و بدون شاهد اجرایی، در سطح صفر ماند. موتور حوزه را نمی‌شناسد و واژگان ASME V&amp;V 40، راهنمای FDA ۲۰۲۳، IEC 62304 و IMDRF از پورت پزشکی روی همین نردبان می‌نشیند.</w:t>
      </w:r>
    </w:p>
    <w:p>
      <w:pPr>
        <w:jc w:val="right"/>
        <w:bidi w:val="1"/>
      </w:pPr>
      <w:r>
        <w:rPr>
          <w:rFonts w:ascii="Times New Roman" w:hAnsi="Times New Roman" w:cs="B Nazanin" w:eastAsia="B Nazanin"/>
          <w:sz w:val="18"/>
          <w:rtl w:val="1"/>
          <w:lang w:val="en-US" w:bidi="fa-IR" w:eastAsia="fa-IR"/>
        </w:rPr>
        <w:t xml:space="preserve">داده و کد: https://github.com/Parvaz-Jamei/codontrace-genesis — DOI: 10.5281/zenodo.20337435</w:t>
      </w:r>
    </w:p>
    <w:p>
      <w:pPr>
        <w:pStyle w:val="Heading"/>
        <w:jc w:val="right"/>
        <w:bidi w:val="1"/>
      </w:pPr>
      <w:r>
        <w:rPr>
          <w:rFonts w:ascii="Times New Roman" w:hAnsi="Times New Roman" w:cs="B Nazanin" w:eastAsia="B Nazanin"/>
          <w:b/>
          <w:sz w:val="22"/>
          <w:rtl w:val="1"/>
          <w:lang w:val="en-US" w:bidi="fa-IR" w:eastAsia="fa-IR"/>
        </w:rPr>
        <w:t xml:space="preserve">مراجع</w:t>
      </w:r>
    </w:p>
    <w:p>
      <w:pPr>
        <w:pStyle w:val="References"/>
        <w:jc w:val="left"/>
        <w:bidi w:val="1"/>
      </w:pPr>
      <w:r>
        <w:rPr>
          <w:rFonts w:ascii="Times New Roman" w:hAnsi="Times New Roman" w:cs="B Nazanin" w:eastAsia="B Nazanin"/>
          <w:sz w:val="16"/>
          <w:rtl w:val="1"/>
          <w:lang w:val="en-US" w:bidi="fa-IR" w:eastAsia="fa-IR"/>
        </w:rPr>
        <w:t xml:space="preserve">[1] U.S. Food and Drug Administration, “Assessing the Credibility of Computational Modeling and Simulation in Medical Device Submissions,” Guidance for Industry and FDA Staff, Nov. 2023.</w:t>
      </w:r>
    </w:p>
    <w:p>
      <w:pPr>
        <w:pStyle w:val="References"/>
        <w:jc w:val="left"/>
        <w:bidi w:val="1"/>
      </w:pPr>
      <w:r>
        <w:rPr>
          <w:rFonts w:ascii="Times New Roman" w:hAnsi="Times New Roman" w:cs="B Nazanin" w:eastAsia="B Nazanin"/>
          <w:sz w:val="16"/>
          <w:rtl w:val="1"/>
          <w:lang w:val="en-US" w:bidi="fa-IR" w:eastAsia="fa-IR"/>
        </w:rPr>
        <w:t xml:space="preserve">[2] ASME, V&amp;V 40-2018: Assessing Credibility of Computational Modeling through Verification and Validation: Application to Medical Devices. New York, NY, USA: ASME, 2018.</w:t>
      </w:r>
    </w:p>
    <w:p>
      <w:pPr>
        <w:pStyle w:val="References"/>
        <w:jc w:val="left"/>
        <w:bidi w:val="1"/>
      </w:pPr>
      <w:r>
        <w:rPr>
          <w:rFonts w:ascii="Times New Roman" w:hAnsi="Times New Roman" w:cs="B Nazanin" w:eastAsia="B Nazanin"/>
          <w:sz w:val="16"/>
          <w:rtl w:val="1"/>
          <w:lang w:val="en-US" w:bidi="fa-IR" w:eastAsia="fa-IR"/>
        </w:rPr>
        <w:t xml:space="preserve">[3] NASA, NASA-STD-7009B: Standard for Models and Simulations. Washington, DC, USA: NASA, 5 Mar. 2024.</w:t>
      </w:r>
    </w:p>
    <w:p>
      <w:pPr>
        <w:pStyle w:val="References"/>
        <w:jc w:val="left"/>
        <w:bidi w:val="1"/>
      </w:pPr>
      <w:r>
        <w:rPr>
          <w:rFonts w:ascii="Times New Roman" w:hAnsi="Times New Roman" w:cs="B Nazanin" w:eastAsia="B Nazanin"/>
          <w:sz w:val="16"/>
          <w:rtl w:val="1"/>
          <w:lang w:val="en-US" w:bidi="fa-IR" w:eastAsia="fa-IR"/>
        </w:rPr>
        <w:t xml:space="preserve">[4] Regulation (EU) 2024/1689 of the European Parliament and of the Council (Artificial Intelligence Act), Annex IV.</w:t>
      </w:r>
    </w:p>
    <w:p>
      <w:pPr>
        <w:pStyle w:val="References"/>
        <w:jc w:val="left"/>
        <w:bidi w:val="1"/>
      </w:pPr>
      <w:r>
        <w:rPr>
          <w:rFonts w:ascii="Times New Roman" w:hAnsi="Times New Roman" w:cs="B Nazanin" w:eastAsia="B Nazanin"/>
          <w:sz w:val="16"/>
          <w:rtl w:val="1"/>
          <w:lang w:val="en-US" w:bidi="fa-IR" w:eastAsia="fa-IR"/>
        </w:rPr>
        <w:t xml:space="preserve">[5] M. Viceconti, F. Pappalardo, B. Rodriguez, M. Horner, J. Bischoff, and F. Musuamba Tshinanu, “In silico trials: Verification, validation and uncertainty quantification of predictive models used in the regulatory evaluation of biomedical products,” Methods, vol. 185, pp. 120–127, 2021, doi: 10.1016/j.ymeth.2020.01.011.</w:t>
      </w:r>
    </w:p>
    <w:p>
      <w:pPr>
        <w:pStyle w:val="References"/>
        <w:jc w:val="left"/>
        <w:bidi w:val="1"/>
      </w:pPr>
      <w:r>
        <w:rPr>
          <w:rFonts w:ascii="Times New Roman" w:hAnsi="Times New Roman" w:cs="B Nazanin" w:eastAsia="B Nazanin"/>
          <w:sz w:val="16"/>
          <w:rtl w:val="1"/>
          <w:lang w:val="en-US" w:bidi="fa-IR" w:eastAsia="fa-IR"/>
        </w:rPr>
        <w:t xml:space="preserve">[6] F. Angermeir, M. Amougou, M. Kreitz, et al., “Reflections on the reproducibility of commercial LLM performance in empirical software engineering studies,” Proc. IEEE/ACM 48th Int. Conf. Software Engineering (ICSE), 2026, doi: 10.1145/3744916.3773207.</w:t>
      </w:r>
    </w:p>
    <w:p>
      <w:pPr>
        <w:pStyle w:val="References"/>
        <w:jc w:val="left"/>
        <w:bidi w:val="1"/>
      </w:pPr>
      <w:r>
        <w:rPr>
          <w:rFonts w:ascii="Times New Roman" w:hAnsi="Times New Roman" w:cs="B Nazanin" w:eastAsia="B Nazanin"/>
          <w:sz w:val="16"/>
          <w:rtl w:val="1"/>
          <w:lang w:val="en-US" w:bidi="fa-IR" w:eastAsia="fa-IR"/>
        </w:rPr>
        <w:t xml:space="preserve">[7] ASME, VVUQ 40.1-2026: An Example of Assessing Computational Model Credibility Using the ASME V&amp;V 40 Risk-Based Framework: Tibial Tray Component Worst-Case Size Identification for Fatigue Testing. New York, NY, USA: ASME, 2026.</w:t>
      </w:r>
    </w:p>
    <w:p>
      <w:pPr>
        <w:pStyle w:val="References"/>
        <w:jc w:val="left"/>
        <w:bidi w:val="1"/>
      </w:pPr>
      <w:r>
        <w:rPr>
          <w:rFonts w:ascii="Times New Roman" w:hAnsi="Times New Roman" w:cs="B Nazanin" w:eastAsia="B Nazanin"/>
          <w:sz w:val="16"/>
          <w:rtl w:val="1"/>
          <w:lang w:val="en-US" w:bidi="fa-IR" w:eastAsia="fa-IR"/>
        </w:rPr>
        <w:t xml:space="preserve">[8] IEC 62304:2006+AMD1:2015, Medical device software — Software life cycle processes. Geneva, Switzerland: IEC.</w:t>
      </w:r>
    </w:p>
    <w:p>
      <w:pPr>
        <w:pStyle w:val="References"/>
        <w:jc w:val="left"/>
        <w:bidi w:val="1"/>
      </w:pPr>
      <w:r>
        <w:rPr>
          <w:rFonts w:ascii="Times New Roman" w:hAnsi="Times New Roman" w:cs="B Nazanin" w:eastAsia="B Nazanin"/>
          <w:sz w:val="16"/>
          <w:rtl w:val="1"/>
          <w:lang w:val="en-US" w:bidi="fa-IR" w:eastAsia="fa-IR"/>
        </w:rPr>
        <w:t xml:space="preserve">[9] IMDRF, Software as a Medical Device: Possible Framework for Risk Categorization and Corresponding Considerations, IMDRF/SaMD WG/N12 FINAL:2014.</w:t>
      </w:r>
    </w:p>
    <w:p>
      <w:pPr>
        <w:pStyle w:val="References"/>
        <w:jc w:val="left"/>
        <w:bidi w:val="1"/>
      </w:pPr>
      <w:r>
        <w:rPr>
          <w:rFonts w:ascii="Times New Roman" w:hAnsi="Times New Roman" w:cs="B Nazanin" w:eastAsia="B Nazanin"/>
          <w:sz w:val="16"/>
          <w:rtl w:val="1"/>
          <w:lang w:val="en-US" w:bidi="fa-IR" w:eastAsia="fa-IR"/>
        </w:rPr>
        <w:t xml:space="preserve">[10] IMDRF, Characterization Considerations for Medical Device Software and Software-Specific Risk, IMDRF/SaMD WG/N81 FINAL:2025, Jan. 2025.</w:t>
      </w:r>
    </w:p>
    <w:p>
      <w:pPr>
        <w:pStyle w:val="References"/>
        <w:jc w:val="left"/>
        <w:bidi w:val="1"/>
      </w:pPr>
      <w:r>
        <w:rPr>
          <w:rFonts w:ascii="Times New Roman" w:hAnsi="Times New Roman" w:cs="B Nazanin" w:eastAsia="B Nazanin"/>
          <w:sz w:val="16"/>
          <w:rtl w:val="1"/>
          <w:lang w:val="en-US" w:bidi="fa-IR" w:eastAsia="fa-IR"/>
        </w:rPr>
        <w:t xml:space="preserve">[11] C. Ofria and C. O. Wilke, “Avida: A software platform for research in computational evolutionary biology,” Artif. Life, vol. 10, no. 2, pp. 191–229, 2004, doi: 10.1162/106454604773563612.</w:t>
      </w:r>
    </w:p>
    <w:p>
      <w:pPr>
        <w:pStyle w:val="References"/>
        <w:jc w:val="left"/>
        <w:bidi w:val="1"/>
      </w:pPr>
      <w:r>
        <w:rPr>
          <w:rFonts w:ascii="Times New Roman" w:hAnsi="Times New Roman" w:cs="B Nazanin" w:eastAsia="B Nazanin"/>
          <w:sz w:val="16"/>
          <w:rtl w:val="1"/>
          <w:lang w:val="en-US" w:bidi="fa-IR" w:eastAsia="fa-IR"/>
        </w:rPr>
        <w:t xml:space="preserve">[12] M. Flageat, H. Janmohamed, B. Lim, and A. Cully, “Exploring the performance-reproducibility trade-off in quality-diversity,” IEEE Trans. Evol. Comput., vol. 30, no. 1, pp. 286–295, Feb. 2026, doi: 10.1109/TEVC.2025.3548438.</w:t>
      </w:r>
    </w:p>
    <w:p>
      <w:pPr>
        <w:pStyle w:val="References"/>
        <w:jc w:val="left"/>
        <w:bidi w:val="1"/>
      </w:pPr>
      <w:r>
        <w:rPr>
          <w:rFonts w:ascii="Times New Roman" w:hAnsi="Times New Roman" w:cs="B Nazanin" w:eastAsia="B Nazanin"/>
          <w:sz w:val="16"/>
          <w:rtl w:val="1"/>
          <w:lang w:val="en-US" w:bidi="fa-IR" w:eastAsia="fa-IR"/>
        </w:rPr>
        <w:t xml:space="preserve">[13] V. Grimm et al., “The ODD protocol for describing agent-based and other simulation models: A second update to improve clarity, replication, and structural realism,” J. Artif. Soc. Soc. Simul., vol. 23, no. 2, art. 7, 2020, doi: 10.18564/jasss.4259.</w:t>
      </w:r>
    </w:p>
    <w:p>
      <w:pPr>
        <w:pStyle w:val="References"/>
        <w:jc w:val="left"/>
        <w:bidi w:val="1"/>
      </w:pPr>
      <w:r>
        <w:rPr>
          <w:rFonts w:ascii="Times New Roman" w:hAnsi="Times New Roman" w:cs="B Nazanin" w:eastAsia="B Nazanin"/>
          <w:sz w:val="16"/>
          <w:rtl w:val="1"/>
          <w:lang w:val="en-US" w:bidi="fa-IR" w:eastAsia="fa-IR"/>
        </w:rPr>
        <w:t xml:space="preserve">[14] CodonTrace Genesis, “Ports, not a domain-specific engine,” docs/ARCHITECTURE_PORTS.md, 2026.</w:t>
      </w:r>
    </w:p>
    <w:p>
      <w:pPr>
        <w:pStyle w:val="References"/>
        <w:jc w:val="left"/>
        <w:bidi w:val="1"/>
      </w:pPr>
      <w:r>
        <w:rPr>
          <w:rFonts w:ascii="Times New Roman" w:hAnsi="Times New Roman" w:cs="B Nazanin" w:eastAsia="B Nazanin"/>
          <w:sz w:val="16"/>
          <w:rtl w:val="1"/>
          <w:lang w:val="en-US" w:bidi="fa-IR" w:eastAsia="fa-IR"/>
        </w:rPr>
        <w:t xml:space="preserve">[15] CodonTrace Genesis, “Biomedical engineering interface,” docs/BIOMEDICAL_ENGINEERING.md, 2026.</w:t>
      </w:r>
    </w:p>
    <w:p>
      <w:pPr>
        <w:pStyle w:val="References"/>
        <w:jc w:val="left"/>
        <w:bidi w:val="1"/>
      </w:pPr>
      <w:r>
        <w:rPr>
          <w:rFonts w:ascii="Times New Roman" w:hAnsi="Times New Roman" w:cs="B Nazanin" w:eastAsia="B Nazanin"/>
          <w:sz w:val="16"/>
          <w:rtl w:val="1"/>
          <w:lang w:val="en-US" w:bidi="fa-IR" w:eastAsia="fa-IR"/>
        </w:rPr>
        <w:t xml:space="preserve">[16] Hard Experiment 01 confirmatory artifact, docs/hard_experiment_01/results_v7.json, digest prefix 28f812c5.</w:t>
      </w:r>
    </w:p>
    <w:p>
      <w:pPr>
        <w:pStyle w:val="References"/>
        <w:jc w:val="left"/>
        <w:bidi w:val="1"/>
      </w:pPr>
      <w:r>
        <w:rPr>
          <w:rFonts w:ascii="Times New Roman" w:hAnsi="Times New Roman" w:cs="B Nazanin" w:eastAsia="B Nazanin"/>
          <w:sz w:val="16"/>
          <w:rtl w:val="1"/>
          <w:lang w:val="en-US" w:bidi="fa-IR" w:eastAsia="fa-IR"/>
        </w:rPr>
        <w:t xml:space="preserve">[17] P. Pathmanathan, K. Aycock, A. Badal, et al., “Credibility assessment of in silico clinical trials for medical devices,” PLoS Comput. Biol., vol. 20, no. 8, e1012289, 2024, doi: 10.1371/journal.pcbi.1012289.</w:t>
      </w:r>
    </w:p>
    <w:p>
      <w:pPr>
        <w:pStyle w:val="References"/>
        <w:jc w:val="left"/>
        <w:bidi w:val="1"/>
      </w:pPr>
      <w:r>
        <w:rPr>
          <w:rFonts w:ascii="Times New Roman" w:hAnsi="Times New Roman" w:cs="B Nazanin" w:eastAsia="B Nazanin"/>
          <w:sz w:val="16"/>
          <w:rtl w:val="1"/>
          <w:lang w:val="en-US" w:bidi="fa-IR" w:eastAsia="fa-IR"/>
        </w:rPr>
        <w:t xml:space="preserve">[18] B. A. Craven, C. A. Basciano, P. Afshari, et al., “Computational modeling and simulation for medical devices: a summary of the 2024 FDA/MDIC Symposium,” Prog. Biomed. Eng., vol. 8, no. 1, 013001, 2026, doi: 10.1088/2516-1091/ae1c05.</w:t>
      </w:r>
    </w:p>
    <w:sectPr w:rsidR="00A30F7A" w:rsidRPr="00B96CBB" w:rsidSect="00BF479B">
      <w:headerReference w:type="even" r:id="rId15"/>
      <w:endnotePr>
        <w:numFmt w:val="decimal"/>
      </w:endnotePr>
      <w:type w:val="continuous"/>
      <w:pgSz w:w="11906" w:h="16838" w:code="9"/>
      <w:pgMar w:top="1080" w:right="907" w:bottom="1440" w:left="907" w:header="850" w:footer="562" w:gutter="0"/>
      <w:cols w:num="2" w:space="340"/>
      <w:titlePg/>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FontNazanin" w:fontKey="{93468E4A-5ADC-4EF9-A182-E6A3A5312047}"/>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r>
    <w:r>
      <w:rPr>
        <w:rStyle w:val="PageNumber"/>
      </w:rPr>
    </w:r>
    <w:r>
      <w:rPr>
        <w:rStyle w:val="PageNumber"/>
        <w:rtl/>
      </w:rPr>
    </w:r>
    <w:r>
      <w:rPr>
        <w:rStyle w:val="PageNumber"/>
        <w:noProof/>
        <w:rtl/>
      </w:rPr>
      <w:t/>
    </w:r>
    <w:r>
      <w:rPr>
        <w:rStyle w:val="PageNumber"/>
        <w:rtl/>
      </w:rPr>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نخستین کنگره ملی مهندسی پزشکی، هوش مصنوعی و علوم شناختی — دانشگاه فردوسی مشهد، آبان ۱۴۰۵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line="300" w:lineRule="exact" w:after="40"/>
      <w:ind w:firstLine="170"/>
      <w:jc w:val="both"/>
      <w:textAlignment w:val="baseline"/>
    </w:pPr>
    <w:rPr>
      <w:rFonts w:cs="B Nazanin" w:ascii="Times New Roman" w:hAnsi="Times New Roman"/>
      <w:color w:val="000000"/>
      <w:sz w:val="20"/>
      <w:szCs w:val="24"/>
      <w:lang w:bidi="fa-IR"/>
    </w:rPr>
  </w:style>
  <w:style w:type="paragraph" w:styleId="Heading1">
    <w:name w:val="heading 1"/>
    <w:basedOn w:val="Normal"/>
    <w:autoRedefine/>
    <w:qFormat/>
    <w:rsid w:val="008764A8"/>
    <w:pPr>
      <w:keepNext/>
      <w:numPr>
        <w:numId w:val="14"/>
      </w:numPr>
      <w:spacing w:before="140" w:after="60"/>
      <w:ind w:left="357" w:hanging="357"/>
      <w:jc w:val="left"/>
      <w:outlineLvl w:val="0"/>
    </w:pPr>
    <w:rPr>
      <w:rFonts w:ascii="Times New Roman" w:hAnsi="Times New Roman" w:cs="B Nazanin"/>
      <w:b/>
      <w:bCs/>
      <w:color w:val="000000"/>
      <w:kern w:val="28"/>
      <w:sz w:val="20"/>
      <w:szCs w:val="24"/>
    </w:rPr>
  </w:style>
  <w:style w:type="paragraph" w:styleId="Heading2">
    <w:name w:val="heading 2"/>
    <w:basedOn w:val="Heading1"/>
    <w:link w:val="Heading2Char"/>
    <w:autoRedefine/>
    <w:qFormat/>
    <w:rsid w:val="00BB042B"/>
    <w:pPr>
      <w:keepNext/>
      <w:numPr>
        <w:ilvl w:val="1"/>
      </w:numPr>
      <w:spacing w:before="140" w:after="60"/>
      <w:jc w:val="left"/>
      <w:outlineLvl w:val="1"/>
    </w:pPr>
    <w:rPr>
      <w:rFonts w:ascii="Times New Roman" w:hAnsi="Times New Roman" w:cs="B Nazanin"/>
      <w:color w:val="000000"/>
      <w:sz w:val="20"/>
      <w:szCs w:val="24"/>
    </w:rPr>
  </w:style>
  <w:style w:type="paragraph" w:styleId="Heading3">
    <w:name w:val="heading 3"/>
    <w:basedOn w:val="Heading2"/>
    <w:autoRedefine/>
    <w:qFormat/>
    <w:rsid w:val="00042A36"/>
    <w:pPr>
      <w:numPr>
        <w:ilvl w:val="2"/>
        <w:numId w:val="25"/>
      </w:numPr>
      <w:outlineLvl w:val="2"/>
    </w:pPr>
    <w:rPr>
      <w:rFonts w:ascii="Times New Roman" w:hAnsi="Times New Roman" w:cs="B Nazanin"/>
      <w:smallCaps/>
      <w:color w:val="000000"/>
      <w:sz w:val="20"/>
      <w:szCs w:val="24"/>
    </w:rPr>
  </w:style>
  <w:style w:type="paragraph" w:styleId="Heading4">
    <w:name w:val="heading 4"/>
    <w:basedOn w:val="Normal"/>
    <w:next w:val="Normal"/>
    <w:qFormat/>
    <w:pPr>
      <w:keepNext/>
      <w:spacing w:before="120" w:after="60"/>
      <w:outlineLvl w:val="3"/>
    </w:pPr>
    <w:rPr>
      <w:rFonts w:ascii="Times New Roman" w:hAnsi="Times New Roman" w:cs="B Nazanin"/>
      <w:i/>
      <w:color w:val="000000"/>
      <w:sz w:val="20"/>
      <w:szCs w:val="24"/>
    </w:rPr>
  </w:style>
  <w:style w:type="paragraph" w:styleId="Heading5">
    <w:name w:val="heading 5"/>
    <w:basedOn w:val="Normal"/>
    <w:next w:val="Normal"/>
    <w:qFormat/>
    <w:pPr>
      <w:spacing w:before="240" w:after="60"/>
      <w:outlineLvl w:val="4"/>
    </w:pPr>
    <w:rPr>
      <w:rFonts w:cs="B Nazanin" w:ascii="Times New Roman" w:hAnsi="Times New Roman"/>
      <w:color w:val="000000"/>
      <w:sz w:val="20"/>
      <w:szCs w:val="24"/>
    </w:rPr>
  </w:style>
  <w:style w:type="paragraph" w:styleId="Heading6">
    <w:name w:val="heading 6"/>
    <w:basedOn w:val="Normal"/>
    <w:next w:val="Normal"/>
    <w:qFormat/>
    <w:pPr>
      <w:spacing w:before="240" w:after="60"/>
      <w:outlineLvl w:val="5"/>
    </w:pPr>
    <w:rPr>
      <w:rFonts w:cs="B Nazanin" w:ascii="Times New Roman" w:hAnsi="Times New Roman"/>
      <w:i/>
      <w:iCs/>
      <w:color w:val="000000"/>
      <w:sz w:val="20"/>
      <w:szCs w:val="24"/>
    </w:rPr>
  </w:style>
  <w:style w:type="paragraph" w:styleId="Heading7">
    <w:name w:val="heading 7"/>
    <w:basedOn w:val="Normal"/>
    <w:next w:val="Normal"/>
    <w:qFormat/>
    <w:pPr>
      <w:spacing w:before="240" w:after="60"/>
      <w:outlineLvl w:val="6"/>
    </w:pPr>
    <w:rPr>
      <w:rFonts w:cs="B Nazanin" w:ascii="Times New Roman" w:hAnsi="Times New Roman"/>
      <w:color w:val="000000"/>
      <w:sz w:val="20"/>
      <w:szCs w:val="24"/>
    </w:rPr>
  </w:style>
  <w:style w:type="paragraph" w:styleId="Heading8">
    <w:name w:val="heading 8"/>
    <w:basedOn w:val="Normal"/>
    <w:next w:val="Normal"/>
    <w:qFormat/>
    <w:pPr>
      <w:spacing w:before="240" w:after="60"/>
      <w:outlineLvl w:val="7"/>
    </w:pPr>
    <w:rPr>
      <w:rFonts w:cs="B Nazanin" w:ascii="Times New Roman" w:hAnsi="Times New Roman"/>
      <w:i/>
      <w:iCs/>
      <w:color w:val="000000"/>
      <w:sz w:val="20"/>
      <w:szCs w:val="24"/>
    </w:rPr>
  </w:style>
  <w:style w:type="paragraph" w:styleId="Heading9">
    <w:name w:val="heading 9"/>
    <w:basedOn w:val="Normal"/>
    <w:next w:val="Normal"/>
    <w:qFormat/>
    <w:pPr>
      <w:spacing w:before="240" w:after="60"/>
      <w:outlineLvl w:val="8"/>
    </w:pPr>
    <w:rPr>
      <w:rFonts w:cs="B Nazanin" w:ascii="Times New Roman" w:hAnsi="Times New Roman"/>
      <w:color w:val="00000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rPr>
      <w:rFonts w:ascii="Times New Roman" w:hAnsi="Times New Roman" w:cs="B Nazanin"/>
      <w:color w:val="000000"/>
      <w:sz w:val="20"/>
      <w:szCs w:val="24"/>
    </w:rPr>
  </w:style>
  <w:style w:type="paragraph" w:styleId="FootnoteText">
    <w:name w:val="footnote text"/>
    <w:basedOn w:val="Normal"/>
    <w:pPr>
      <w:bidi w:val="0"/>
      <w:spacing w:line="252" w:lineRule="auto"/>
      <w:ind w:firstLine="202"/>
    </w:pPr>
    <w:rPr>
      <w:rFonts w:ascii="Times New Roman" w:hAnsi="Times New Roman" w:cs="B Nazanin"/>
      <w:color w:val="000000"/>
      <w:sz w:val="20"/>
      <w:szCs w:val="24"/>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jc w:val="left"/>
    </w:pPr>
    <w:rPr>
      <w:rFonts w:ascii="Times New Roman" w:hAnsi="Times New Roman" w:cs="B Nazanin"/>
      <w:color w:val="000000"/>
      <w:sz w:val="20"/>
      <w:szCs w:val="24"/>
    </w:rPr>
  </w:style>
  <w:style w:type="paragraph" w:styleId="Footer">
    <w:name w:val="footer"/>
    <w:basedOn w:val="Normal"/>
    <w:autoRedefine/>
    <w:rsid w:val="006C3627"/>
    <w:pPr>
      <w:tabs>
        <w:tab w:val="center" w:pos="4536"/>
        <w:tab w:val="right" w:pos="9072"/>
      </w:tabs>
      <w:jc w:val="center"/>
    </w:pPr>
    <w:rPr>
      <w:rFonts w:ascii="Times New Roman" w:hAnsi="Times New Roman" w:cs="B Nazanin"/>
      <w:color w:val="000000"/>
      <w:sz w:val="20"/>
      <w:szCs w:val="24"/>
    </w:rPr>
  </w:style>
  <w:style w:type="paragraph" w:styleId="Title">
    <w:name w:val="Title"/>
    <w:basedOn w:val="Normal"/>
    <w:link w:val="TitleChar"/>
    <w:autoRedefine/>
    <w:qFormat/>
    <w:rsid w:val="00D57EF7"/>
    <w:pPr>
      <w:spacing w:before="760" w:after="200"/>
      <w:jc w:val="center"/>
    </w:pPr>
    <w:rPr>
      <w:rFonts w:ascii="Times New Roman" w:hAnsi="Times New Roman" w:cs="B Nazanin"/>
      <w:b/>
      <w:bCs/>
      <w:color w:val="000000"/>
      <w:kern w:val="28"/>
      <w:sz w:val="20"/>
      <w:szCs w:val="30"/>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jc w:val="center"/>
    </w:pPr>
    <w:rPr>
      <w:rFonts w:ascii="Times New Roman" w:hAnsi="Times New Roman" w:cs="B Nazanin"/>
      <w:color w:val="000000"/>
      <w:sz w:val="20"/>
      <w:szCs w:val="24"/>
    </w:rPr>
  </w:style>
  <w:style w:type="character" w:styleId="Hyperlink">
    <w:name w:val="Hyperlink"/>
    <w:semiHidden/>
    <w:rPr>
      <w:color w:val="0000FF"/>
      <w:u w:val="single"/>
    </w:rPr>
  </w:style>
  <w:style w:type="paragraph" w:customStyle="1" w:styleId="Paragraph">
    <w:name w:val="Paragraph"/>
    <w:basedOn w:val="Normal"/>
    <w:autoRedefine/>
    <w:rsid w:val="00AF6820"/>
    <w:rPr>
      <w:rFonts w:ascii="Times New Roman" w:hAnsi="Times New Roman" w:cs="B Nazanin"/>
      <w:color w:val="000000"/>
      <w:sz w:val="20"/>
      <w:szCs w:val="24"/>
    </w:rPr>
  </w:style>
  <w:style w:type="paragraph" w:customStyle="1" w:styleId="References">
    <w:name w:val="References"/>
    <w:basedOn w:val="Normal"/>
    <w:rsid w:val="00414E9A"/>
    <w:pPr>
      <w:bidi w:val="0"/>
    </w:pPr>
    <w:rPr>
      <w:rFonts w:cs="B Nazanin" w:ascii="Times New Roman" w:hAnsi="Times New Roman"/>
      <w:color w:val="000000"/>
      <w:sz w:val="20"/>
      <w:szCs w:val="24"/>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textAlignment w:val="auto"/>
    </w:pPr>
    <w:rPr>
      <w:rFonts w:ascii="Times New Roman" w:hAnsi="Times New Roman" w:cs="B Nazanin"/>
      <w:bCs/>
      <w:i/>
      <w:color w:val="000000"/>
      <w:sz w:val="20"/>
      <w:szCs w:val="24"/>
    </w:rPr>
  </w:style>
  <w:style w:type="paragraph" w:customStyle="1" w:styleId="Equation">
    <w:name w:val="Equation"/>
    <w:basedOn w:val="Normal"/>
    <w:link w:val="EquationChar"/>
    <w:autoRedefine/>
    <w:rsid w:val="00B87093"/>
    <w:pPr>
      <w:tabs>
        <w:tab w:val="right" w:pos="4309"/>
        <w:tab w:val="right" w:pos="4649"/>
      </w:tabs>
      <w:spacing w:before="60" w:after="100" w:afterAutospacing="1"/>
    </w:pPr>
    <w:rPr>
      <w:rFonts w:ascii="Times New Roman" w:hAnsi="Times New Roman" w:cs="B Nazanin"/>
      <w:color w:val="000000"/>
      <w:sz w:val="20"/>
      <w:szCs w:val="24"/>
    </w:rPr>
  </w:style>
  <w:style w:type="paragraph" w:customStyle="1" w:styleId="FigurePosition">
    <w:name w:val="Figure Position"/>
    <w:basedOn w:val="Normal"/>
    <w:autoRedefine/>
    <w:rsid w:val="00111E9C"/>
    <w:pPr>
      <w:jc w:val="center"/>
    </w:pPr>
    <w:rPr>
      <w:rFonts w:ascii="Times New Roman" w:hAnsi="Times New Roman" w:cs="B Nazanin"/>
      <w:color w:val="000000"/>
      <w:sz w:val="20"/>
      <w:szCs w:val="24"/>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90"/>
      <w:jc w:val="left"/>
      <w:textAlignment w:val="auto"/>
    </w:pPr>
    <w:rPr>
      <w:rFonts w:ascii="Times New Roman" w:hAnsi="Times New Roman" w:cs="B Nazanin"/>
      <w:color w:val="000000"/>
      <w:sz w:val="20"/>
      <w:szCs w:val="22"/>
    </w:rPr>
  </w:style>
  <w:style w:type="paragraph" w:customStyle="1" w:styleId="Heading">
    <w:name w:val="Heading"/>
    <w:basedOn w:val="Normal"/>
    <w:autoRedefine/>
    <w:rsid w:val="008764A8"/>
    <w:pPr>
      <w:keepNext/>
      <w:overflowPunct/>
      <w:autoSpaceDE/>
      <w:autoSpaceDN/>
      <w:adjustRightInd/>
      <w:spacing w:before="140" w:after="60"/>
      <w:jc w:val="left"/>
      <w:textAlignment w:val="auto"/>
    </w:pPr>
    <w:rPr>
      <w:rFonts w:ascii="Times New Roman" w:hAnsi="Times New Roman" w:cs="B Nazanin"/>
      <w:b/>
      <w:bCs/>
      <w:color w:val="000000"/>
      <w:kern w:val="28"/>
      <w:sz w:val="20"/>
      <w:szCs w:val="24"/>
    </w:rPr>
  </w:style>
  <w:style w:type="paragraph" w:customStyle="1" w:styleId="TableTitle">
    <w:name w:val="Table Title"/>
    <w:basedOn w:val="Normal"/>
    <w:semiHidden/>
    <w:pPr>
      <w:jc w:val="center"/>
    </w:pPr>
    <w:rPr>
      <w:rFonts w:ascii="Times New Roman" w:hAnsi="Times New Roman" w:cs="B Nazanin"/>
      <w:smallCaps/>
      <w:color w:val="000000"/>
      <w:sz w:val="20"/>
      <w:szCs w:val="20"/>
    </w:rPr>
  </w:style>
  <w:style w:type="paragraph" w:customStyle="1" w:styleId="Affiliations">
    <w:name w:val="Affiliations"/>
    <w:basedOn w:val="Normal"/>
    <w:autoRedefine/>
    <w:rsid w:val="00AF6820"/>
    <w:pPr>
      <w:framePr w:wrap="around" w:vAnchor="text" w:hAnchor="text" w:xAlign="center" w:y="1"/>
      <w:jc w:val="center"/>
    </w:pPr>
    <w:rPr>
      <w:rFonts w:ascii="Times New Roman" w:hAnsi="Times New Roman" w:cs="B Nazanin"/>
      <w:color w:val="000000"/>
      <w:sz w:val="20"/>
      <w:szCs w:val="24"/>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120"/>
      <w:ind w:left="1440" w:right="1440"/>
    </w:pPr>
    <w:rPr>
      <w:rFonts w:ascii="Times New Roman" w:hAnsi="Times New Roman" w:cs="B Nazanin"/>
      <w:color w:val="000000"/>
      <w:sz w:val="20"/>
      <w:szCs w:val="24"/>
    </w:rPr>
  </w:style>
  <w:style w:type="paragraph" w:styleId="BodyText">
    <w:name w:val="Body Text"/>
    <w:basedOn w:val="Normal"/>
    <w:semiHidden/>
    <w:rsid w:val="00867C08"/>
    <w:pPr>
      <w:spacing w:after="120"/>
    </w:pPr>
    <w:rPr>
      <w:rFonts w:ascii="Times New Roman" w:hAnsi="Times New Roman" w:cs="B Nazanin"/>
      <w:color w:val="000000"/>
      <w:sz w:val="20"/>
      <w:szCs w:val="24"/>
    </w:rPr>
  </w:style>
  <w:style w:type="paragraph" w:styleId="BodyText2">
    <w:name w:val="Body Text 2"/>
    <w:basedOn w:val="Normal"/>
    <w:semiHidden/>
    <w:rsid w:val="00867C08"/>
    <w:pPr>
      <w:spacing w:after="120" w:line="480" w:lineRule="auto"/>
    </w:pPr>
    <w:rPr>
      <w:rFonts w:ascii="Times New Roman" w:hAnsi="Times New Roman" w:cs="B Nazanin"/>
      <w:color w:val="000000"/>
      <w:sz w:val="20"/>
      <w:szCs w:val="24"/>
    </w:rPr>
  </w:style>
  <w:style w:type="paragraph" w:styleId="BodyText3">
    <w:name w:val="Body Text 3"/>
    <w:basedOn w:val="Normal"/>
    <w:semiHidden/>
    <w:rsid w:val="00867C08"/>
    <w:pPr>
      <w:spacing w:after="120"/>
    </w:pPr>
    <w:rPr>
      <w:rFonts w:ascii="Times New Roman" w:hAnsi="Times New Roman" w:cs="B Nazanin"/>
      <w:color w:val="000000"/>
      <w:sz w:val="20"/>
      <w:szCs w:val="24"/>
    </w:rPr>
  </w:style>
  <w:style w:type="paragraph" w:styleId="BodyTextFirstIndent">
    <w:name w:val="Body Text First Indent"/>
    <w:basedOn w:val="BodyText"/>
    <w:semiHidden/>
    <w:rsid w:val="00867C08"/>
    <w:pPr>
      <w:ind w:firstLine="210"/>
    </w:pPr>
    <w:rPr>
      <w:rFonts w:ascii="Times New Roman" w:hAnsi="Times New Roman" w:cs="B Nazanin"/>
      <w:color w:val="000000"/>
      <w:sz w:val="20"/>
      <w:szCs w:val="24"/>
    </w:rPr>
  </w:style>
  <w:style w:type="paragraph" w:styleId="BodyTextIndent">
    <w:name w:val="Body Text Indent"/>
    <w:basedOn w:val="Normal"/>
    <w:semiHidden/>
    <w:rsid w:val="00867C08"/>
    <w:pPr>
      <w:spacing w:after="120"/>
      <w:ind w:left="283"/>
    </w:pPr>
    <w:rPr>
      <w:rFonts w:ascii="Times New Roman" w:hAnsi="Times New Roman" w:cs="B Nazanin"/>
      <w:color w:val="000000"/>
      <w:sz w:val="20"/>
      <w:szCs w:val="24"/>
    </w:rPr>
  </w:style>
  <w:style w:type="paragraph" w:styleId="BodyTextFirstIndent2">
    <w:name w:val="Body Text First Indent 2"/>
    <w:basedOn w:val="BodyTextIndent"/>
    <w:semiHidden/>
    <w:rsid w:val="00867C08"/>
    <w:pPr>
      <w:ind w:firstLine="210"/>
    </w:pPr>
    <w:rPr>
      <w:rFonts w:ascii="Times New Roman" w:hAnsi="Times New Roman" w:cs="B Nazanin"/>
      <w:color w:val="000000"/>
      <w:sz w:val="20"/>
      <w:szCs w:val="24"/>
    </w:rPr>
  </w:style>
  <w:style w:type="paragraph" w:styleId="BodyTextIndent2">
    <w:name w:val="Body Text Indent 2"/>
    <w:basedOn w:val="Normal"/>
    <w:semiHidden/>
    <w:rsid w:val="00867C08"/>
    <w:pPr>
      <w:spacing w:after="120" w:line="480" w:lineRule="auto"/>
      <w:ind w:left="283"/>
    </w:pPr>
    <w:rPr>
      <w:rFonts w:ascii="Times New Roman" w:hAnsi="Times New Roman" w:cs="B Nazanin"/>
      <w:color w:val="000000"/>
      <w:sz w:val="20"/>
      <w:szCs w:val="24"/>
    </w:rPr>
  </w:style>
  <w:style w:type="paragraph" w:styleId="BodyTextIndent3">
    <w:name w:val="Body Text Indent 3"/>
    <w:basedOn w:val="Normal"/>
    <w:semiHidden/>
    <w:rsid w:val="00867C08"/>
    <w:pPr>
      <w:spacing w:after="120"/>
      <w:ind w:left="283"/>
    </w:pPr>
    <w:rPr>
      <w:rFonts w:ascii="Times New Roman" w:hAnsi="Times New Roman" w:cs="B Nazanin"/>
      <w:color w:val="000000"/>
      <w:sz w:val="20"/>
      <w:szCs w:val="24"/>
    </w:rPr>
  </w:style>
  <w:style w:type="paragraph" w:styleId="Caption">
    <w:name w:val="caption"/>
    <w:next w:val="FigurePosition"/>
    <w:autoRedefine/>
    <w:qFormat/>
    <w:rsid w:val="008730CE"/>
    <w:pPr>
      <w:bidi/>
      <w:spacing w:after="240"/>
      <w:jc w:val="center"/>
    </w:pPr>
    <w:rPr>
      <w:rFonts w:cs="B Nazanin" w:ascii="Times New Roman" w:hAnsi="Times New Roman"/>
      <w:color w:val="000000"/>
      <w:sz w:val="20"/>
      <w:szCs w:val="20"/>
    </w:rPr>
  </w:style>
  <w:style w:type="paragraph" w:styleId="Closing">
    <w:name w:val="Closing"/>
    <w:basedOn w:val="Normal"/>
    <w:semiHidden/>
    <w:rsid w:val="00867C08"/>
    <w:pPr>
      <w:ind w:left="4252"/>
    </w:pPr>
    <w:rPr>
      <w:rFonts w:ascii="Times New Roman" w:hAnsi="Times New Roman" w:cs="B Nazanin"/>
      <w:color w:val="000000"/>
      <w:sz w:val="20"/>
      <w:szCs w:val="24"/>
    </w:rPr>
  </w:style>
  <w:style w:type="paragraph" w:styleId="Date">
    <w:name w:val="Date"/>
    <w:basedOn w:val="Normal"/>
    <w:next w:val="Normal"/>
    <w:semiHidden/>
    <w:rsid w:val="00867C08"/>
    <w:rPr>
      <w:rFonts w:ascii="Times New Roman" w:hAnsi="Times New Roman" w:cs="B Nazanin"/>
      <w:color w:val="000000"/>
      <w:sz w:val="20"/>
      <w:szCs w:val="24"/>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rPr>
      <w:rFonts w:ascii="Times New Roman" w:hAnsi="Times New Roman" w:cs="B Nazanin"/>
      <w:color w:val="000000"/>
      <w:sz w:val="20"/>
      <w:szCs w:val="24"/>
    </w:rPr>
  </w:style>
  <w:style w:type="paragraph" w:styleId="EnvelopeAddress">
    <w:name w:val="envelope address"/>
    <w:basedOn w:val="Normal"/>
    <w:semiHidden/>
    <w:rsid w:val="00867C08"/>
    <w:pPr>
      <w:framePr w:w="7920" w:h="1980" w:hRule="exact" w:hSpace="180" w:wrap="auto" w:hAnchor="page" w:xAlign="center" w:yAlign="bottom"/>
      <w:ind w:left="2880"/>
    </w:pPr>
    <w:rPr>
      <w:rFonts w:ascii="Times New Roman" w:hAnsi="Times New Roman" w:cs="B Nazanin"/>
      <w:color w:val="000000"/>
      <w:sz w:val="20"/>
      <w:szCs w:val="24"/>
    </w:rPr>
  </w:style>
  <w:style w:type="paragraph" w:styleId="EnvelopeReturn">
    <w:name w:val="envelope return"/>
    <w:basedOn w:val="Normal"/>
    <w:semiHidden/>
    <w:rsid w:val="00867C08"/>
    <w:rPr>
      <w:rFonts w:ascii="Times New Roman" w:hAnsi="Times New Roman" w:cs="B Nazanin"/>
      <w:color w:val="000000"/>
      <w:sz w:val="20"/>
      <w:szCs w:val="24"/>
    </w:rPr>
  </w:style>
  <w:style w:type="character" w:styleId="HTMLAcronym">
    <w:name w:val="HTML Acronym"/>
    <w:basedOn w:val="DefaultParagraphFont"/>
    <w:semiHidden/>
    <w:rsid w:val="00867C08"/>
  </w:style>
  <w:style w:type="paragraph" w:styleId="HTMLAddress">
    <w:name w:val="HTML Address"/>
    <w:basedOn w:val="Normal"/>
    <w:semiHidden/>
    <w:rsid w:val="00867C08"/>
    <w:rPr>
      <w:rFonts w:ascii="Times New Roman" w:hAnsi="Times New Roman" w:cs="B Nazanin"/>
      <w:i/>
      <w:iCs/>
      <w:color w:val="000000"/>
      <w:sz w:val="20"/>
      <w:szCs w:val="24"/>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rPr>
      <w:rFonts w:ascii="Times New Roman" w:hAnsi="Times New Roman" w:cs="B Nazanin"/>
      <w:color w:val="000000"/>
      <w:sz w:val="20"/>
      <w:szCs w:val="24"/>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ind w:left="283" w:hanging="283"/>
    </w:pPr>
    <w:rPr>
      <w:rFonts w:ascii="Times New Roman" w:hAnsi="Times New Roman" w:cs="B Nazanin"/>
      <w:color w:val="000000"/>
      <w:sz w:val="20"/>
      <w:szCs w:val="24"/>
    </w:rPr>
  </w:style>
  <w:style w:type="paragraph" w:styleId="List2">
    <w:name w:val="List 2"/>
    <w:basedOn w:val="Normal"/>
    <w:semiHidden/>
    <w:rsid w:val="00867C08"/>
    <w:pPr>
      <w:ind w:left="566" w:hanging="283"/>
    </w:pPr>
    <w:rPr>
      <w:rFonts w:ascii="Times New Roman" w:hAnsi="Times New Roman" w:cs="B Nazanin"/>
      <w:color w:val="000000"/>
      <w:sz w:val="20"/>
      <w:szCs w:val="24"/>
    </w:rPr>
  </w:style>
  <w:style w:type="paragraph" w:styleId="List3">
    <w:name w:val="List 3"/>
    <w:basedOn w:val="Normal"/>
    <w:semiHidden/>
    <w:rsid w:val="00867C08"/>
    <w:pPr>
      <w:ind w:left="849" w:hanging="283"/>
    </w:pPr>
    <w:rPr>
      <w:rFonts w:ascii="Times New Roman" w:hAnsi="Times New Roman" w:cs="B Nazanin"/>
      <w:color w:val="000000"/>
      <w:sz w:val="20"/>
      <w:szCs w:val="24"/>
    </w:rPr>
  </w:style>
  <w:style w:type="paragraph" w:styleId="List4">
    <w:name w:val="List 4"/>
    <w:basedOn w:val="Normal"/>
    <w:semiHidden/>
    <w:rsid w:val="00867C08"/>
    <w:pPr>
      <w:ind w:left="1132" w:hanging="283"/>
    </w:pPr>
    <w:rPr>
      <w:rFonts w:ascii="Times New Roman" w:hAnsi="Times New Roman" w:cs="B Nazanin"/>
      <w:color w:val="000000"/>
      <w:sz w:val="20"/>
      <w:szCs w:val="24"/>
    </w:rPr>
  </w:style>
  <w:style w:type="paragraph" w:styleId="List5">
    <w:name w:val="List 5"/>
    <w:basedOn w:val="Normal"/>
    <w:semiHidden/>
    <w:rsid w:val="00867C08"/>
    <w:pPr>
      <w:ind w:left="1415" w:hanging="283"/>
    </w:pPr>
    <w:rPr>
      <w:rFonts w:ascii="Times New Roman" w:hAnsi="Times New Roman" w:cs="B Nazanin"/>
      <w:color w:val="000000"/>
      <w:sz w:val="20"/>
      <w:szCs w:val="24"/>
    </w:rPr>
  </w:style>
  <w:style w:type="paragraph" w:styleId="ListBullet">
    <w:name w:val="List Bullet"/>
    <w:basedOn w:val="Normal"/>
    <w:semiHidden/>
    <w:rsid w:val="00867C08"/>
    <w:pPr>
      <w:numPr>
        <w:numId w:val="30"/>
      </w:numPr>
    </w:pPr>
    <w:rPr>
      <w:rFonts w:ascii="Times New Roman" w:hAnsi="Times New Roman" w:cs="B Nazanin"/>
      <w:color w:val="000000"/>
      <w:sz w:val="20"/>
      <w:szCs w:val="24"/>
    </w:rPr>
  </w:style>
  <w:style w:type="paragraph" w:styleId="ListBullet2">
    <w:name w:val="List Bullet 2"/>
    <w:basedOn w:val="Normal"/>
    <w:semiHidden/>
    <w:rsid w:val="00867C08"/>
    <w:pPr>
      <w:numPr>
        <w:numId w:val="31"/>
      </w:numPr>
    </w:pPr>
    <w:rPr>
      <w:rFonts w:ascii="Times New Roman" w:hAnsi="Times New Roman" w:cs="B Nazanin"/>
      <w:color w:val="000000"/>
      <w:sz w:val="20"/>
      <w:szCs w:val="24"/>
    </w:rPr>
  </w:style>
  <w:style w:type="paragraph" w:styleId="ListBullet3">
    <w:name w:val="List Bullet 3"/>
    <w:basedOn w:val="Normal"/>
    <w:semiHidden/>
    <w:rsid w:val="00867C08"/>
    <w:pPr>
      <w:numPr>
        <w:numId w:val="32"/>
      </w:numPr>
    </w:pPr>
    <w:rPr>
      <w:rFonts w:ascii="Times New Roman" w:hAnsi="Times New Roman" w:cs="B Nazanin"/>
      <w:color w:val="000000"/>
      <w:sz w:val="20"/>
      <w:szCs w:val="24"/>
    </w:rPr>
  </w:style>
  <w:style w:type="paragraph" w:styleId="ListBullet4">
    <w:name w:val="List Bullet 4"/>
    <w:basedOn w:val="Normal"/>
    <w:semiHidden/>
    <w:rsid w:val="00867C08"/>
    <w:pPr>
      <w:numPr>
        <w:numId w:val="33"/>
      </w:numPr>
    </w:pPr>
    <w:rPr>
      <w:rFonts w:ascii="Times New Roman" w:hAnsi="Times New Roman" w:cs="B Nazanin"/>
      <w:color w:val="000000"/>
      <w:sz w:val="20"/>
      <w:szCs w:val="24"/>
    </w:rPr>
  </w:style>
  <w:style w:type="paragraph" w:styleId="ListBullet5">
    <w:name w:val="List Bullet 5"/>
    <w:basedOn w:val="Normal"/>
    <w:semiHidden/>
    <w:rsid w:val="00867C08"/>
    <w:pPr>
      <w:numPr>
        <w:numId w:val="34"/>
      </w:numPr>
    </w:pPr>
    <w:rPr>
      <w:rFonts w:ascii="Times New Roman" w:hAnsi="Times New Roman" w:cs="B Nazanin"/>
      <w:color w:val="000000"/>
      <w:sz w:val="20"/>
      <w:szCs w:val="24"/>
    </w:rPr>
  </w:style>
  <w:style w:type="paragraph" w:styleId="ListContinue">
    <w:name w:val="List Continue"/>
    <w:basedOn w:val="Normal"/>
    <w:semiHidden/>
    <w:rsid w:val="00867C08"/>
    <w:pPr>
      <w:spacing w:after="120"/>
      <w:ind w:left="283"/>
    </w:pPr>
    <w:rPr>
      <w:rFonts w:ascii="Times New Roman" w:hAnsi="Times New Roman" w:cs="B Nazanin"/>
      <w:color w:val="000000"/>
      <w:sz w:val="20"/>
      <w:szCs w:val="24"/>
    </w:rPr>
  </w:style>
  <w:style w:type="paragraph" w:styleId="ListContinue2">
    <w:name w:val="List Continue 2"/>
    <w:basedOn w:val="Normal"/>
    <w:semiHidden/>
    <w:rsid w:val="00867C08"/>
    <w:pPr>
      <w:spacing w:after="120"/>
      <w:ind w:left="566"/>
    </w:pPr>
    <w:rPr>
      <w:rFonts w:ascii="Times New Roman" w:hAnsi="Times New Roman" w:cs="B Nazanin"/>
      <w:color w:val="000000"/>
      <w:sz w:val="20"/>
      <w:szCs w:val="24"/>
    </w:rPr>
  </w:style>
  <w:style w:type="paragraph" w:styleId="ListContinue3">
    <w:name w:val="List Continue 3"/>
    <w:basedOn w:val="Normal"/>
    <w:semiHidden/>
    <w:rsid w:val="00867C08"/>
    <w:pPr>
      <w:spacing w:after="120"/>
      <w:ind w:left="849"/>
    </w:pPr>
    <w:rPr>
      <w:rFonts w:ascii="Times New Roman" w:hAnsi="Times New Roman" w:cs="B Nazanin"/>
      <w:color w:val="000000"/>
      <w:sz w:val="20"/>
      <w:szCs w:val="24"/>
    </w:rPr>
  </w:style>
  <w:style w:type="paragraph" w:styleId="ListContinue4">
    <w:name w:val="List Continue 4"/>
    <w:basedOn w:val="Normal"/>
    <w:semiHidden/>
    <w:rsid w:val="00867C08"/>
    <w:pPr>
      <w:spacing w:after="120"/>
      <w:ind w:left="1132"/>
    </w:pPr>
    <w:rPr>
      <w:rFonts w:ascii="Times New Roman" w:hAnsi="Times New Roman" w:cs="B Nazanin"/>
      <w:color w:val="000000"/>
      <w:sz w:val="20"/>
      <w:szCs w:val="24"/>
    </w:rPr>
  </w:style>
  <w:style w:type="paragraph" w:styleId="ListContinue5">
    <w:name w:val="List Continue 5"/>
    <w:basedOn w:val="Normal"/>
    <w:semiHidden/>
    <w:rsid w:val="00867C08"/>
    <w:pPr>
      <w:spacing w:after="120"/>
      <w:ind w:left="1415"/>
    </w:pPr>
    <w:rPr>
      <w:rFonts w:ascii="Times New Roman" w:hAnsi="Times New Roman" w:cs="B Nazanin"/>
      <w:color w:val="000000"/>
      <w:sz w:val="20"/>
      <w:szCs w:val="24"/>
    </w:rPr>
  </w:style>
  <w:style w:type="paragraph" w:styleId="ListNumber">
    <w:name w:val="List Number"/>
    <w:basedOn w:val="Normal"/>
    <w:semiHidden/>
    <w:rsid w:val="00867C08"/>
    <w:pPr>
      <w:numPr>
        <w:numId w:val="35"/>
      </w:numPr>
    </w:pPr>
    <w:rPr>
      <w:rFonts w:ascii="Times New Roman" w:hAnsi="Times New Roman" w:cs="B Nazanin"/>
      <w:color w:val="000000"/>
      <w:sz w:val="20"/>
      <w:szCs w:val="24"/>
    </w:rPr>
  </w:style>
  <w:style w:type="paragraph" w:styleId="ListNumber2">
    <w:name w:val="List Number 2"/>
    <w:basedOn w:val="Normal"/>
    <w:semiHidden/>
    <w:rsid w:val="00867C08"/>
    <w:pPr>
      <w:numPr>
        <w:numId w:val="36"/>
      </w:numPr>
    </w:pPr>
    <w:rPr>
      <w:rFonts w:ascii="Times New Roman" w:hAnsi="Times New Roman" w:cs="B Nazanin"/>
      <w:color w:val="000000"/>
      <w:sz w:val="20"/>
      <w:szCs w:val="24"/>
    </w:rPr>
  </w:style>
  <w:style w:type="paragraph" w:styleId="ListNumber3">
    <w:name w:val="List Number 3"/>
    <w:basedOn w:val="Normal"/>
    <w:semiHidden/>
    <w:rsid w:val="00867C08"/>
    <w:pPr>
      <w:numPr>
        <w:numId w:val="37"/>
      </w:numPr>
    </w:pPr>
    <w:rPr>
      <w:rFonts w:ascii="Times New Roman" w:hAnsi="Times New Roman" w:cs="B Nazanin"/>
      <w:color w:val="000000"/>
      <w:sz w:val="20"/>
      <w:szCs w:val="24"/>
    </w:rPr>
  </w:style>
  <w:style w:type="paragraph" w:styleId="ListNumber4">
    <w:name w:val="List Number 4"/>
    <w:basedOn w:val="Normal"/>
    <w:semiHidden/>
    <w:rsid w:val="00867C08"/>
    <w:pPr>
      <w:numPr>
        <w:numId w:val="38"/>
      </w:numPr>
    </w:pPr>
    <w:rPr>
      <w:rFonts w:ascii="Times New Roman" w:hAnsi="Times New Roman" w:cs="B Nazanin"/>
      <w:color w:val="000000"/>
      <w:sz w:val="20"/>
      <w:szCs w:val="24"/>
    </w:rPr>
  </w:style>
  <w:style w:type="paragraph" w:styleId="ListNumber5">
    <w:name w:val="List Number 5"/>
    <w:basedOn w:val="Normal"/>
    <w:semiHidden/>
    <w:rsid w:val="00867C08"/>
    <w:pPr>
      <w:numPr>
        <w:numId w:val="39"/>
      </w:numPr>
    </w:pPr>
    <w:rPr>
      <w:rFonts w:ascii="Times New Roman" w:hAnsi="Times New Roman" w:cs="B Nazanin"/>
      <w:color w:val="000000"/>
      <w:sz w:val="20"/>
      <w:szCs w:val="24"/>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ind w:left="1134" w:hanging="1134"/>
    </w:pPr>
    <w:rPr>
      <w:rFonts w:ascii="Times New Roman" w:hAnsi="Times New Roman" w:cs="B Nazanin"/>
      <w:color w:val="000000"/>
      <w:sz w:val="20"/>
      <w:szCs w:val="24"/>
    </w:rPr>
  </w:style>
  <w:style w:type="paragraph" w:styleId="NormalWeb">
    <w:name w:val="Normal (Web)"/>
    <w:basedOn w:val="Normal"/>
    <w:uiPriority w:val="99"/>
    <w:semiHidden/>
    <w:rsid w:val="00867C08"/>
    <w:rPr>
      <w:rFonts w:cs="B Nazanin" w:ascii="Times New Roman" w:hAnsi="Times New Roman"/>
      <w:color w:val="000000"/>
      <w:sz w:val="20"/>
      <w:szCs w:val="24"/>
    </w:rPr>
  </w:style>
  <w:style w:type="paragraph" w:styleId="NormalIndent">
    <w:name w:val="Normal Indent"/>
    <w:basedOn w:val="Normal"/>
    <w:semiHidden/>
    <w:rsid w:val="00867C08"/>
    <w:pPr>
      <w:ind w:left="720"/>
    </w:pPr>
    <w:rPr>
      <w:rFonts w:ascii="Times New Roman" w:hAnsi="Times New Roman" w:cs="B Nazanin"/>
      <w:color w:val="000000"/>
      <w:sz w:val="20"/>
      <w:szCs w:val="24"/>
    </w:rPr>
  </w:style>
  <w:style w:type="paragraph" w:styleId="NoteHeading">
    <w:name w:val="Note Heading"/>
    <w:basedOn w:val="Normal"/>
    <w:next w:val="Normal"/>
    <w:semiHidden/>
    <w:rsid w:val="00867C08"/>
    <w:rPr>
      <w:rFonts w:ascii="Times New Roman" w:hAnsi="Times New Roman" w:cs="B Nazanin"/>
      <w:color w:val="000000"/>
      <w:sz w:val="20"/>
      <w:szCs w:val="24"/>
    </w:rPr>
  </w:style>
  <w:style w:type="paragraph" w:styleId="Salutation">
    <w:name w:val="Salutation"/>
    <w:basedOn w:val="Normal"/>
    <w:next w:val="Normal"/>
    <w:semiHidden/>
    <w:rsid w:val="00867C08"/>
    <w:rPr>
      <w:rFonts w:ascii="Times New Roman" w:hAnsi="Times New Roman" w:cs="B Nazanin"/>
      <w:color w:val="000000"/>
      <w:sz w:val="20"/>
      <w:szCs w:val="24"/>
    </w:rPr>
  </w:style>
  <w:style w:type="paragraph" w:styleId="Signature">
    <w:name w:val="Signature"/>
    <w:basedOn w:val="Normal"/>
    <w:semiHidden/>
    <w:rsid w:val="00867C08"/>
    <w:pPr>
      <w:ind w:left="4252"/>
    </w:pPr>
    <w:rPr>
      <w:rFonts w:ascii="Times New Roman" w:hAnsi="Times New Roman" w:cs="B Nazanin"/>
      <w:color w:val="000000"/>
      <w:sz w:val="20"/>
      <w:szCs w:val="24"/>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jc w:val="center"/>
      <w:outlineLvl w:val="1"/>
    </w:pPr>
    <w:rPr>
      <w:rFonts w:ascii="Times New Roman" w:hAnsi="Times New Roman" w:cs="B Nazanin"/>
      <w:color w:val="000000"/>
      <w:sz w:val="20"/>
      <w:szCs w:val="24"/>
    </w:rPr>
  </w:style>
  <w:style w:type="paragraph" w:customStyle="1" w:styleId="CaptionC">
    <w:name w:val="Caption(C)"/>
    <w:basedOn w:val="Caption"/>
    <w:autoRedefine/>
    <w:rsid w:val="00A43E52"/>
    <w:rPr>
      <w:rFonts w:ascii="Times New Roman" w:hAnsi="Times New Roman" w:cs="B Nazanin"/>
      <w:color w:val="000000"/>
      <w:sz w:val="20"/>
      <w:szCs w:val="24"/>
    </w:rPr>
  </w:style>
  <w:style w:type="paragraph" w:customStyle="1" w:styleId="CaptionFramed">
    <w:name w:val="Caption(Framed)"/>
    <w:basedOn w:val="CaptionC"/>
    <w:autoRedefine/>
    <w:rsid w:val="004040DD"/>
    <w:pPr>
      <w:framePr w:wrap="around" w:vAnchor="text" w:hAnchor="margin" w:xAlign="center" w:y="1"/>
    </w:pPr>
    <w:rPr>
      <w:rFonts w:ascii="Times New Roman" w:hAnsi="Times New Roman" w:cs="B Nazanin"/>
      <w:color w:val="000000"/>
      <w:sz w:val="20"/>
      <w:lang w:bidi="fa-IR"/>
      <w:szCs w:val="24"/>
    </w:rPr>
  </w:style>
  <w:style w:type="paragraph" w:customStyle="1" w:styleId="ReferencesFarsi">
    <w:name w:val="ReferencesFarsi"/>
    <w:basedOn w:val="References"/>
    <w:rsid w:val="00F5690B"/>
    <w:rPr>
      <w:rFonts w:ascii="Times New Roman" w:hAnsi="Times New Roman" w:cs="B Nazanin"/>
      <w:color w:val="000000"/>
      <w:sz w:val="20"/>
      <w:szCs w:val="24"/>
    </w:rPr>
  </w:style>
  <w:style w:type="paragraph" w:customStyle="1" w:styleId="FramedFigure">
    <w:name w:val="Framed Figure"/>
    <w:basedOn w:val="FigurePosition"/>
    <w:autoRedefine/>
    <w:rsid w:val="008764A8"/>
    <w:pPr>
      <w:framePr w:w="7052" w:wrap="around" w:hAnchor="page" w:x="2422" w:yAlign="top"/>
    </w:pPr>
    <w:rPr>
      <w:rFonts w:ascii="Times New Roman" w:hAnsi="Times New Roman" w:cs="B Nazanin"/>
      <w:color w:val="000000"/>
      <w:sz w:val="20"/>
      <w:szCs w:val="24"/>
    </w:rPr>
  </w:style>
  <w:style w:type="paragraph" w:customStyle="1" w:styleId="ReferencesFarsi0">
    <w:name w:val="References(Farsi)"/>
    <w:basedOn w:val="ReferencesFarsi"/>
    <w:rsid w:val="0037408A"/>
    <w:pPr>
      <w:bidi/>
    </w:pPr>
    <w:rPr>
      <w:rFonts w:ascii="Times New Roman" w:hAnsi="Times New Roman" w:cs="B Nazanin"/>
      <w:color w:val="000000"/>
      <w:sz w:val="20"/>
      <w:szCs w:val="24"/>
    </w:rPr>
  </w:style>
  <w:style w:type="paragraph" w:customStyle="1" w:styleId="AbstractEnglish">
    <w:name w:val="Abstract(English)"/>
    <w:basedOn w:val="Abstract"/>
    <w:autoRedefine/>
    <w:rsid w:val="009D543E"/>
    <w:rPr>
      <w:rFonts w:ascii="Times New Roman" w:hAnsi="Times New Roman" w:cs="B Nazanin"/>
      <w:color w:val="000000"/>
      <w:sz w:val="20"/>
      <w:szCs w:val="24"/>
    </w:rPr>
  </w:style>
  <w:style w:type="paragraph" w:customStyle="1" w:styleId="TitleEnglish">
    <w:name w:val="Title(English)"/>
    <w:basedOn w:val="Title"/>
    <w:autoRedefine/>
    <w:rsid w:val="0023447C"/>
    <w:pPr>
      <w:bidi w:val="0"/>
    </w:pPr>
    <w:rPr>
      <w:rFonts w:ascii="Times New Roman" w:hAnsi="Times New Roman" w:cs="B Nazanin"/>
      <w:color w:val="000000"/>
      <w:sz w:val="20"/>
      <w:szCs w:val="24"/>
    </w:rPr>
  </w:style>
  <w:style w:type="paragraph" w:customStyle="1" w:styleId="AuthorsEnglish">
    <w:name w:val="Authors( English)"/>
    <w:basedOn w:val="Authors"/>
    <w:next w:val="AbstractEnglish"/>
    <w:autoRedefine/>
    <w:rsid w:val="0023447C"/>
    <w:pPr>
      <w:framePr w:wrap="auto" w:vAnchor="margin" w:xAlign="left" w:yAlign="inline"/>
      <w:bidi w:val="0"/>
    </w:pPr>
    <w:rPr>
      <w:rFonts w:ascii="Times New Roman" w:hAnsi="Times New Roman" w:cs="B Nazanin"/>
      <w:color w:val="000000"/>
      <w:sz w:val="20"/>
      <w:szCs w:val="24"/>
    </w:rPr>
  </w:style>
  <w:style w:type="paragraph" w:customStyle="1" w:styleId="AffiliationsEnglish">
    <w:name w:val="Affiliations(English)"/>
    <w:basedOn w:val="Affiliations"/>
    <w:autoRedefine/>
    <w:rsid w:val="0023447C"/>
    <w:pPr>
      <w:framePr w:wrap="auto" w:vAnchor="margin" w:xAlign="left" w:yAlign="inline"/>
      <w:bidi w:val="0"/>
    </w:pPr>
    <w:rPr>
      <w:rFonts w:ascii="Times New Roman" w:hAnsi="Times New Roman" w:cs="B Nazanin"/>
      <w:color w:val="000000"/>
      <w:sz w:val="20"/>
      <w:szCs w:val="24"/>
    </w:rPr>
  </w:style>
  <w:style w:type="paragraph" w:customStyle="1" w:styleId="AuthorsEnglisht">
    <w:name w:val="Authors( English)t"/>
    <w:basedOn w:val="AuthorsEnglish"/>
    <w:rsid w:val="0023447C"/>
    <w:rPr>
      <w:rFonts w:ascii="Times New Roman" w:hAnsi="Times New Roman" w:cs="B Nazanin"/>
      <w:color w:val="000000"/>
      <w:sz w:val="20"/>
      <w:szCs w:val="24"/>
    </w:rPr>
  </w:style>
  <w:style w:type="paragraph" w:styleId="BalloonText">
    <w:name w:val="Balloon Text"/>
    <w:basedOn w:val="Normal"/>
    <w:link w:val="BalloonTextChar"/>
    <w:rsid w:val="00D14067"/>
    <w:rPr>
      <w:rFonts w:ascii="Times New Roman" w:hAnsi="Times New Roman" w:cs="B Nazanin"/>
      <w:color w:val="000000"/>
      <w:sz w:val="20"/>
      <w:szCs w:val="24"/>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pPr>
    <w:rPr>
      <w:rFonts w:ascii="Times New Roman" w:hAnsi="Times New Roman" w:cs="B Nazanin"/>
      <w:color w:val="000000"/>
      <w:sz w:val="20"/>
      <w:szCs w:val="22"/>
    </w:rPr>
  </w:style>
  <w:style w:type="paragraph" w:customStyle="1" w:styleId="abstract0">
    <w:name w:val="abstract"/>
    <w:basedOn w:val="Abstract"/>
    <w:link w:val="abstractChar0"/>
    <w:autoRedefine/>
    <w:qFormat/>
    <w:rsid w:val="00D66C6A"/>
    <w:pPr>
      <w:spacing w:line="240" w:lineRule="auto" w:after="80"/>
    </w:pPr>
    <w:rPr>
      <w:rFonts w:ascii="Times New Roman" w:hAnsi="Times New Roman" w:cs="B Nazanin"/>
      <w:color w:val="000000"/>
      <w:sz w:val="20"/>
      <w:szCs w:val="22"/>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ind w:firstLine="0"/>
      <w:jc w:val="center"/>
    </w:pPr>
    <w:rPr>
      <w:rFonts w:ascii="Times New Roman" w:hAnsi="Times New Roman" w:cs="B Nazanin"/>
      <w:color w:val="000000"/>
      <w:sz w:val="20"/>
      <w:szCs w:val="24"/>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rPr>
      <w:rFonts w:ascii="Times New Roman" w:hAnsi="Times New Roman" w:cs="B Nazanin"/>
      <w:color w:val="000000"/>
      <w:sz w:val="20"/>
      <w:szCs w:val="24"/>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rPr>
      <w:rFonts w:ascii="Times New Roman" w:hAnsi="Times New Roman" w:cs="B Nazanin"/>
      <w:b/>
      <w:bCs/>
      <w:color w:val="000000"/>
      <w:sz w:val="20"/>
      <w:szCs w:val="24"/>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8" Type="http://schemas.openxmlformats.org/officeDocument/2006/relationships/image" Target="media/image4.png"/><Relationship Id="rId19" Type="http://schemas.openxmlformats.org/officeDocument/2006/relationships/image" Target="media/image5.png"/><Relationship Id="rId13" Type="http://schemas.openxmlformats.org/officeDocument/2006/relationships/image" Target="media/image2.tiff"/><Relationship Id="rId14" Type="http://schemas.openxmlformats.org/officeDocument/2006/relationships/image" Target="media/image3.tiff"/></Relationships>
</file>

<file path=word/_rels/fontTable.xml.rels><?xml version='1.0' encoding='UTF-8' standalone='yes'?>
<Relationships xmlns="http://schemas.openxmlformats.org/package/2006/relationships"><Relationship Id="rFontNazanin" Type="http://schemas.openxmlformats.org/officeDocument/2006/relationships/font" Target="fonts/BNazanin.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حسابرسی شواهد مدل‌های in silico در مهندسی پزشکی با نردبان اعتبار کودون‌تریس جنسیس</dc:title>
  <dc:subject>حسابرسی شواهد مدل‌های محاسباتی در مهندسی پزشکی</dc:subject>
  <dc:creator>پرواز جمیعی / Parvaz Jamei</dc:creator>
  <cp:keywords>CodonTrace Genesis; evidence auditing; BAIC2026</cp:keywords>
  <dc:description>BAIC 2026 camera-ready. CodonTrace Genesis claim-audit infrastructure with biomedical DomainProfile.</dc:description>
  <cp:lastModifiedBy>Parvaz Jamei</cp:lastModifiedBy>
  <cp:revision>2</cp:revision>
  <cp:lastPrinted>2017-10-31T12:21:00Z</cp:lastPrinted>
  <dcterms:created xsi:type="dcterms:W3CDTF">2023-11-09T12:25:00Z</dcterms:created>
  <dcterms:modified xsi:type="dcterms:W3CDTF">2026-09-22T14:00:30Z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