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جمیعی۱</w:t>
      </w:r>
    </w:p>
    <w:p>
      <w:pPr>
        <w:pStyle w:val="Affiliations"/>
        <w:jc w:val="center"/>
        <w:bidi w:val="1"/>
      </w:pPr>
      <w:r>
        <w:rPr>
          <w:rFonts w:ascii="Times New Roman" w:hAnsi="Times New Roman" w:cs="B Nazanin" w:eastAsia="B Nazanin"/>
          <w:sz w:val="18"/>
          <w:rtl w:val="1"/>
          <w:lang w:val="en-US" w:bidi="fa-IR" w:eastAsia="fa-IR"/>
        </w:rPr>
        <w:t xml:space="preserve">۱پژوهشگر مستقل، مشهد، ایران</w:t>
      </w:r>
    </w:p>
    <w:p>
      <w:pPr>
        <w:pStyle w:val="Affiliations"/>
        <w:jc w:val="center"/>
        <w:bidi w:val="1"/>
      </w:pPr>
      <w:r>
        <w:rPr>
          <w:rFonts w:ascii="Times New Roman" w:hAnsi="Times New Roman" w:cs="B Nazanin" w:eastAsia="B Nazanin"/>
          <w:sz w:val="18"/>
          <w:rtl w:val="1"/>
          <w:lang w:val="en-US" w:bidi="fa-IR" w:eastAsia="fa-IR"/>
        </w:rPr>
        <w:t xml:space="preserve">Parvaz Jamei | parvaz.nic@gmail.com | ORCID: 0009-0002-9980-270X</w:t>
      </w:r>
    </w:p>
    <w:p>
      <w:pPr>
        <w:pStyle w:val="Abstract"/>
        <w:jc w:val="both"/>
        <w:bidi w:val="1"/>
      </w:pPr>
      <w:r>
        <w:rPr>
          <w:rFonts w:ascii="Times New Roman" w:hAnsi="Times New Roman" w:cs="B Nazanin" w:eastAsia="B Nazanin"/>
          <w:sz w:val="18"/>
          <w:rtl w:val="1"/>
          <w:lang w:val="en-US" w:bidi="fa-IR" w:eastAsia="fa-IR"/>
        </w:rPr>
        <w:t xml:space="preserve">چکیده - تناسب شواهد با ادعا، نه فقط یک عدد دقت، کیفیت مدل محاسباتی را در مهندسی پزشکی تعیین می‌کند. این مقاله کودون‌تریس جنسیس را به‌عنوان بستری واحد برای اجرای قطعی جهان شبیه‌سازی، مداخلهٔ علّی روی یال‌های سازوکار، و حسابرسی ادعا با نردبان شش‌سطحی معرفی می‌کند. موتور اجرا حوزه نمی‌شناسد؛ حوزه از پورت DomainProfile و آداپتور بستهٔ شواهد می‌آید. پروفایل زیست‌پزشکی همان نردبان را به واژگان ASME V&amp;V 40، راهنمای FDA ۲۰۲۳ برای اعتبار مدل‌سازی محاسباتی، IEC 62304 و IMDRF وصل می‌کند. ارزیابی روی کمپین تأییدی پیش‌ثبت‌شدهٔ HE01 با ۳۰ بذر جفتی انجام شد. سنجهٔ اولیه میانگین انرژی پایانی گیرنده است. در برابر کنترل کانالِ روشن بدون سوگیری منشأ، تفاضل ۱۶٫۴۹ واحد با بازهٔ اطمینان BCa [۱۴٫۲۵، ۱۹٫۱۴] به‌دست آمد. دستاورد، زیرساخت اجرایی ممیزی ادعاست که برای مدل‌های in silico تجهیزات از همان پورت قابل اتصال است.</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 xml:space="preserve">کلید واژه- اعتبارسنجی in silico، حسابرسی شواهد، مدل‌سازی محاسباتی، بازپخش‌پذیری</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 xml:space="preserve">در مدل‌سازی محاسباتی برای تجهیزات و سامانه‌های پزشکی، پرسش اصلی «دقت مدل چند است؟» نیست؛ «شواهد موجود چه قوتی از ادعا را مجاز می‌کند؟» است. راهنمای سازمان غذا و داروی آمریکا در نوامبر ۲۰۲۳ چارچوبی ریسک‌آگاه برای اعتبار مدل‌سازی و شبیه‌سازی فیزیک‌محور در پروندهٔ تجهیز ارائه می‌کند و مدل‌های یادگیری ماشین مستقل را صراحتاً خارج از دامنه می‌گذارد [1]. هشت دستهٔ شواهد آن راهنما — راستی‌آزمایی کد، کالیبراسیون مدل، اعتبارسنجی نیمکت، اعتبارسنجی in vivo، اعتبارسنجی جمعیتی، رفتار پدیداری، معقول بودن مدل، و راستی‌آزمایی محاسبات همراه با کمی‌سازی عدم‌قطعیت — در این کار به‌صورت برچسب اعلامی روی پورت زیست‌پزشکی ذخیره می‌شوند. استاندارد ASME V&amp;V 40 اعتبار لازم را به پرسش مورد علاقه، زمینهٔ کاربرد و ریسک تصمیم گره می‌زند [2]. استاندارد NASA-STD-7009B ارزیابی قابلیت مدل و انتقال اعتبار نتایج را الزامی می‌کند [3]. پیوست چهارم قانون هوش مصنوعی اتحادیهٔ اروپا مستندسازی اعتبارسنجی را برای سامانه‌های مشمول مقرر می‌کند [4].</w:t>
      </w:r>
    </w:p>
    <w:p>
      <w:pPr>
        <w:jc w:val="both"/>
        <w:bidi w:val="1"/>
      </w:pPr>
      <w:r>
        <w:rPr>
          <w:rFonts w:ascii="Times New Roman" w:hAnsi="Times New Roman" w:cs="B Nazanin" w:eastAsia="B Nazanin"/>
          <w:sz w:val="20"/>
          <w:rtl w:val="1"/>
          <w:lang w:val="en-US" w:bidi="fa-IR" w:eastAsia="fa-IR"/>
        </w:rPr>
        <w:t xml:space="preserve">Viceconti و همکاران چارچوب آزمون‌های in silico را بر تعریف زمینهٔ کاربرد، تحلیل ریسک، و زنجیرهٔ راستی‌آزمایی–اعتبارسنجی–کمی‌سازی عدم‌قطعیت بنا می‌کنند [5]. Pathmanathan و همکاران همین منطق را برای آزمون بالینی درسیلیکو به‌صورت گردش‌کار سلسله‌مراتبی اعتبار زیرمدل‌ها گسترش داده‌اند [17]. سمپوزیوم مشترک FDA/MDIC در آوریل ۲۰۲۴ اعتبار CM&amp;S را در سراسر چرخهٔ عمر تجهیز، از جمله دوقلوی دیجیتال و آزمون درسیلیکو، جمع‌بندی کرده است [18]. با این حال هیچ‌یک از این منابع به‌تنهایی یک حسابرس نرم‌افزاری برای ادعای همراه یک مصنوع پژوهشی نیستند. شکاف عملی دو لایه دارد. نخست در گزارش پژوهش: از میان ۸۵ مقالهٔ مبتنی بر مدل زبانی در ICSE و ASE ۲۰۲۴، هیچ‌یک از پنج مصنوع اجرایی کاملاً بازتولید نشد [6]. دوم در نگهداری شواهد: نشان بازتولید به‌تنهایی هویت و قوت ادعا را پس از انتشار حفظ نمی‌کند.</w:t>
      </w:r>
    </w:p>
    <w:p>
      <w:pPr>
        <w:jc w:val="both"/>
        <w:bidi w:val="1"/>
      </w:pPr>
      <w:r>
        <w:rPr>
          <w:rFonts w:ascii="Times New Roman" w:hAnsi="Times New Roman" w:cs="B Nazanin" w:eastAsia="B Nazanin"/>
          <w:sz w:val="20"/>
          <w:rtl w:val="1"/>
          <w:lang w:val="en-US" w:bidi="fa-IR" w:eastAsia="fa-IR"/>
        </w:rPr>
        <w:t xml:space="preserve">سهم این مقاله سه بخش است: (۱) یکپارچه‌سازی اجرای قطعی، مداخلهٔ یال‌به‌یال و حسابرسی شواهد در بستری که موتور آن برای پزشکی بازنویسی نمی‌شود؛ (۲) پروفایل زیست‌پزشکی که همان نردبان را به واژگان تنظیم‌گری وصل می‌کند؛ (۳) ارزیابی کمّی روی کمپین تأییدی منتشرشده و یک نمونهٔ اعلامی مدل تجهیز. تازگی مورد ادعا در این ترکیب اجرایی است.</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 xml:space="preserve">درجه‌بندی اعتبار پیشینهٔ طولانی دارد. ASME VVUQ 40.1-2026 یک گزارش فنی کامل برای شناسایی بدترین اندازهٔ سینی تیبیال در آزمون خستگی بر اساس ISO 14879-1 است [7]. IEC 62304 ردهٔ ایمنی نرم‌افزار پزشکی A/B/C را برای شدت فرایند چرخهٔ حیات تعریف می‌کند [8]. اسناد IMDRF زبان SiMD/SaMD و مشخصه‌سازی ریسک نرم‌افزار دستگاه را فراهم می‌سازند [9]، [10]. آنچه این مقاله می‌افزاید، اتصال اجرایی همان واژگان به یک نردبان قابل اجراست.</w:t>
      </w:r>
    </w:p>
    <w:p>
      <w:pPr>
        <w:jc w:val="both"/>
        <w:bidi w:val="1"/>
      </w:pPr>
      <w:r>
        <w:rPr>
          <w:rFonts w:ascii="Times New Roman" w:hAnsi="Times New Roman" w:cs="B Nazanin" w:eastAsia="B Nazanin"/>
          <w:sz w:val="20"/>
          <w:rtl w:val="1"/>
          <w:lang w:val="en-US" w:bidi="fa-IR" w:eastAsia="fa-IR"/>
        </w:rPr>
        <w:t xml:space="preserve">در محاسبات تکاملی، آویدا بستری کلاسیک برای برنامه‌های خودتکثیرشونده است [11]. آداپتور پروندهٔ .dat آن اسکلت است. ادبیات کیفیت‌تنوع بر ثبات عملکرد در محیط نامطمئن تأکید دارد [12] که با بازپخش بیت‌به‌بیت یک اجرای نرم‌افزار یکی نیست. توصیف مدل از منطق مستندسازی ODD بهره می‌برد [13]. درخواست asme_vv40_passed در پیکربندی ConfigurationError می‌دهد.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 xml:space="preserve">هسته از ژنوم، عامل، جهان و زمان‌بند تشکیل شده است. تنظیمات ساختاریافته هنگام ایجاد اعتبارسنجی می‌شوند؛ گزینهٔ جدید با پیش‌فرض خاموش وارد می‌شود تا پیکربندی‌های پیشین پایدار بمانند. مسیر سازوکار از ژنوم و فنوتیپ به کنش، پیامد منابع، تجربه، کپسول دارای منشأ، انتقال، پذیرش، اعمال در سیاست گیرنده، بقا و تولیدمثل می‌رسد. شناسهٔ یال، دیجست‌های پیش و پس، و شمارنده‌های تلاش، پذیرش و اعمال ثبت می‌شوند تا انتقال پیام با تغییر رفتار یکی گرفته نشود. نسخهٔ نرم‌افزار از پروندهٔ پیکربندی پروژه خوانده می‌شود و در هویت بستهٔ شواهد سخت‌کد نیست.</w:t>
      </w:r>
    </w:p>
    <w:p>
      <w:pPr>
        <w:jc w:val="both"/>
        <w:bidi w:val="1"/>
      </w:pPr>
      <w:r>
        <w:rPr>
          <w:rFonts w:ascii="Times New Roman" w:hAnsi="Times New Roman" w:cs="B Nazanin" w:eastAsia="B Nazanin"/>
          <w:sz w:val="20"/>
          <w:rtl w:val="1"/>
          <w:lang w:val="en-US" w:bidi="fa-IR" w:eastAsia="fa-IR"/>
        </w:rPr>
        <w:t xml:space="preserve">موتور حوزه نمی‌شناسد. پزشکی، سخت‌افزار و زندگی مصنوعی از پورت متصل می‌شوند: آداپتور بستهٔ شواهد ClaimGate می‌سازد و DomainProfile برچسب حوزه را حمل می‌کند. افزودن حوزه یعنی پروفایل یا آداپتور جدید، نه انشعاب موتور. شکل ۱ مسیر مفهومی را نشان می‌دهد: آداپتور، بستهٔ شواهد، حسابرس، و نردبان صفر تا پنج؛ موتور فقط تیک، دیجست و بازپخش را اجرا می‌کند [14].</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اجرای جهان</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adapters.codontrace_he02/03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 xml:space="preserve">الگوریتم حسابرسی در سطح معماری پنج گام دارد: (۱) آداپتور پرونده یا جدول را به بستهٔ claimgate_bundle_v1 برمی‌گرداند؛ (۲) نقش بازوها به پنج نقش عمومی نگاشته می‌شود — درمان، حذف سازوکار، خاموشی کانال، کنترل منفی، و دوز؛ (۳) دیجست پیکربندی و در صورت وجود دیجست پیش‌ثبت‌نامه بررسی می‌شود؛ (۴) بازپخش، مقایسه‌های جفتی، بازهٔ اطمینان و شمار بذر خوانده می‌شوند؛ (۵) حسابرس بالاترین سطحی را برمی‌گرداند که همهٔ شروطش برقرار است.</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 xml:space="preserve">حسابرس codontrace.claimgate از موتور جداست. نردبان عمومی شش سطح دارد. سطح ۳ به مداخله یا حذف یال، کنترل منفی و شواهد بازپخش نیاز دارد. سطح ۴ بازهٔ اطمینان و حداقل شانزده بذر را می‌افزاید. سطح ۵ به آرشیو، محدودیت‌های مستند و شواهد آماری و مداخله‌ای وابسته است. این آستانه‌ها سیاست همین پیاده‌سازی‌اند. برابری خروجی بازوها به‌تنهایی یک نتیجهٔ صفر معتبر را رد نمی‌کند؛ بی‌اعتباری آزمون وقتی اعلام می‌شود که بررسی تحقق مداخله نیز برقرار نباشد.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بومی کمپین HE01 مصنوع JSON را می‌خواند و نقش‌های محلی را با canonical_role به طرح‌وارهٔ عمومی برمی‌گرداند؛ بایت مصنوع عوض نمی‌شود. آداپتورهای اسکلت Avida و MABE2 پروندهٔ .dat و CSV را می‌خوانند. آداپتور زیست‌پزشکی جدول امتیاز اعلامی را با زمینهٔ کاربرد و ریسک مدل پر می‌کند. پل ESP32 یک پورت سخت‌افزاری اختیاری است. پین پرونده‌های متنی با sha256_text_file پس از یکسان‌سازی CRLF→LF انجام می‌شود؛ هش مصنوع دودویی همچنان Path.read_bytes() است. پروتکل آماری پیش‌فرض، جایگشت علامت جفتی با تصحیح Holm و بازهٔ BCa است. بوت‌استرپ studentized و شمارش دقیق علامت برای n≤۴۰ اختیاری‌اند تا پین کمپین نشکند.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 xml:space="preserve">اتصال پزشکی از طریق DomainProfile است (alife / biomedical / hardware) [15]. اعلام simd_declared یا samd_declared زبان IMDRF را روی بسته ثبت می‌کند. راهنمای ۲۰۲۳ FDA برای مدل فیزیک‌محور یا مکانیستی است؛ اگر physics_based نادرست باشد، دامنه out_of_scope_standalone_ml می‌شود حتی اگر دسته‌های شواهد اعلام شده باشند. رشته‌هایی مانند asme_vv40_passed، fda_cleared، clinical_validated و iec_62304_certified در پیکربندی پذیرفته نمی‌شوند. این رد شدن یک ویژگی طراحی است: حسابرس اجازه نمی‌دهد برچسب تأیید از یک جدول اعلامی کسب شود.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 xml:space="preserve">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 xml:space="preserve">درجهٔ ادعا روی نردبان</w:t>
            </w:r>
          </w:p>
        </w:tc>
      </w:tr>
    </w:tbl>
    <w:p>
      <w:pPr>
        <w:jc w:val="both"/>
        <w:bidi w:val="1"/>
      </w:pPr>
      <w:r>
        <w:rPr>
          <w:rFonts w:ascii="Times New Roman" w:hAnsi="Times New Roman" w:cs="B Nazanin" w:eastAsia="B Nazanin"/>
          <w:sz w:val="20"/>
          <w:rtl w:val="1"/>
          <w:lang w:val="en-US" w:bidi="fa-IR" w:eastAsia="fa-IR"/>
        </w:rPr>
        <w:t xml:space="preserve">جدول ۳ یک نمونهٔ اعلامی را نشان می‌دهد. اعداد آن برای نمایش قالب بسته است. سطح نردبان روی چنین جدولی فقط درجهٔ یک ادعاست.</w:t>
      </w:r>
    </w:p>
    <w:p>
      <w:pPr>
        <w:pStyle w:val="TableTitle"/>
        <w:jc w:val="center"/>
        <w:bidi w:val="1"/>
      </w:pPr>
      <w:r>
        <w:rPr>
          <w:rFonts w:ascii="Times New Roman" w:hAnsi="Times New Roman" w:cs="B Nazanin" w:eastAsia="B Nazanin"/>
          <w:b/>
          <w:i/>
          <w:sz w:val="16"/>
          <w:rtl w:val="1"/>
          <w:lang w:val="en-US" w:bidi="fa-IR" w:eastAsia="fa-IR"/>
        </w:rPr>
        <w:t xml:space="preserve">جدول ۳: نمونهٔ اعلامی مدل تجهیز (غیر بالینی)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اعلامی؛ بدون ایمپلنت</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۲ / ۳</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device_software_kind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خیر → خارج از دامنهٔ راهنما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اجرایی</w:t>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 xml:space="preserve">کمپین HE01 یک طرح پیش‌ثبت‌شده برای سوگیری منشأ کپسول است. سی بذر جفتی، بازوی درمان source_bias_on را می‌سنجد. کنترل منفی تأییدی capsules_content_null است؛ capsules_off مسیر انتقال را حذف می‌کند؛ source_bias_off کانال را روشن نگه می‌دارد و سوگیری منشأ را برمی‌دارد؛ capsules_shuffled حساسیت به بر زدن محتواست. نردبان دوز اوراکل (oracle_capsule) الگوی پاسخ به شدت را جدا نگه می‌دارد. سنجهٔ اولیه میانگین ATP پایانی گیرنده است؛ این کمیت انرژی شبیه‌سازی‌شده است. سقف ادعا در مصنوع منتشرشده intervention_supported است. پروتکل آماری پیش‌فرض، جایگشت علامت جفتی با تصحیح Holm و بازهٔ BCa است.</w:t>
      </w:r>
    </w:p>
    <w:p>
      <w:pPr>
        <w:jc w:val="both"/>
        <w:bidi w:val="1"/>
      </w:pPr>
      <w:r>
        <w:rPr>
          <w:rFonts w:ascii="Times New Roman" w:hAnsi="Times New Roman" w:cs="B Nazanin" w:eastAsia="B Nazanin"/>
          <w:sz w:val="20"/>
          <w:rtl w:val="1"/>
          <w:lang w:val="en-US" w:bidi="fa-IR" w:eastAsia="fa-IR"/>
        </w:rPr>
        <w:t xml:space="preserve">مصنوع منتشرشدهٔ results_v7.json (پیشوند دیجست 28f812c5) سه کنتراست جفتی را گزارش می‌کند [16]. در برابر source_bias_off تفاضل ۱۶٫۴۹ واحد، p خام جایگشت ۴٫۹۹۹۷۵×۱۰⁻⁵، p تصحیح‌شدهٔ Holm ۱٫۵۰×۱۰⁻⁴ و بازهٔ BCa [۱۴٫۲۵، ۱۹٫۱۴] است. در برابر capsules_content_null و capsules_off تفاضل ۳۰٫۶۷ واحد با بازهٔ [۲۶٫۰۳، ۳۵٫۳۲] است. کنتراست در برابر کنترل محتوایی، محتوا و سوگیری منشأ را هم‌زمان تغییر می‌دهد؛ کنتراست در برابر source_bias_off کانال را ثابت نگه می‌دارد. بازتحلیل اختیاری همان ۳۰ تفاضل با بوت‌استرپ studentized بازهٔ بی‌دروازه را حدود ۱۴٫۰۵–۱۹٫۳۰ می‌دهد؛ این حساسیت روش است نه بازتقطیع فایل v7.</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ATP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۱۶٫۴۹ ؛ BCa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source_bias_on در برابر capsules_off / 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 xml:space="preserve">Δ = ۳۰٫۶۷ ؛ BCa [۲۶٫۰۳، ۳۵٫۳۲]</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 xml:space="preserve">حسابرس روی بستهٔ اعلامی</w:t>
      </w:r>
    </w:p>
    <w:p>
      <w:pPr>
        <w:jc w:val="both"/>
        <w:bidi w:val="1"/>
      </w:pPr>
      <w:r>
        <w:rPr>
          <w:rFonts w:ascii="Times New Roman" w:hAnsi="Times New Roman" w:cs="B Nazanin" w:eastAsia="B Nazanin"/>
          <w:sz w:val="20"/>
          <w:rtl w:val="1"/>
          <w:lang w:val="en-US" w:bidi="fa-IR" w:eastAsia="fa-IR"/>
        </w:rPr>
        <w:t xml:space="preserve">سیاست نردبان برای بسته‌ای با بازپخش، مداخله، کنترل منفی، بازه و حداقل شانزده بذر سطح ۴ را مجاز می‌کند؛ مصنوع HE01 همین شروط را حمل می‌کند. روی نمونهٔ جدول ۳ — بدون بازپخش و بدون مداخلهٔ یال — سطح در پایین نردبان می‌ماند. واژگان تنظیم‌گری سقف ادعا را بالا نمی‌برند.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 xml:space="preserve">ASME V&amp;V 40 یک فرایند اعتبار مدل برای زمینهٔ کاربرد مشخص است. آنچه این نرم‌افزار فراهم می‌کند، ثبت پرسش، زمینه، تأثیر و پیامد به‌صورت اعلامی و سپس درجه‌بندی ادعای همراه بسته است. اگر کاربر مدل فیزیک‌محور واقعی با آزمون نیمکت و in vivo داشته باشد، همان شواهد بیرون از این نرم‌افزار جمع می‌شوند و به‌صورت برچسب دستهٔ FDA ۲۰۲۳ اعلام می‌گردند. کودون‌تریس جنسیس مکمل حسابرسی ادعاست. نسخه از پیکربندی پروژه خوانده می‌شود؛ این مقاله اعداد کمپین را با نوک شاخه بازتقطیع نمی‌کند.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 xml:space="preserve">دامنهٔ این مطالعه، حسابرسی ادعای همراه مصنوع پژوهشی است. راهنمای FDA ۲۰۲۳ شامل مدل یادگیری ماشین مستقل نمی‌شود. حسابرس ارزیاب بیرونی نیست. در HE01 کنتراست محتوایی مداخلهٔ مرکب دارد و سه بازو روی سنجهٔ انرژی اشباع شده‌اند. آداپتورهای Avida و MABE2 اسکلت‌اند. بوت‌استرپ studentized و شمارش دقیق علامت پیش‌فرض نیستند.</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 xml:space="preserve">کودون‌تریس جنسیس اجرای قطعی، مداخلهٔ علّی و حسابرسی ادعا را روی یک نردبان واحد جمع می‌کند، در حالی که موتور نسبت به حوزه ناآگاه می‌ماند. پروفایل زیست‌پزشکی واژگان ASME V&amp;V 40، FDA ۲۰۲۳، IEC 62304 و IMDRF را روی همان پورت حمل می‌کند. ارزیابی HE01 اثر آماری را روی سنجهٔ اولیه نشان می‌دهد و سقف انتساب علّی را به طراحی بازوها محدود می‌کند. مسیر بعدی، ارزیابی بیرونی بسته‌های شواهد و اتصال مدل فیزیک‌محور واقعی تحت زمینهٔ کاربرد صریح است.</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