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27B37">
      <w:pPr>
        <w:spacing w:after="100"/>
        <w:jc w:val="center"/>
        <w:rPr>
          <w:rFonts w:hint="default" w:ascii="Times New Roman" w:hAnsi="Times New Roman" w:eastAsia="Calibri" w:cs="Times New Roman"/>
          <w:b/>
          <w:bCs/>
          <w:i w:val="0"/>
          <w:iCs w:val="0"/>
          <w:sz w:val="40"/>
          <w:szCs w:val="40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i w:val="0"/>
          <w:iCs w:val="0"/>
          <w:sz w:val="40"/>
          <w:szCs w:val="40"/>
          <w:lang w:val="en-US"/>
        </w:rPr>
        <w:t>NAME : PARVEEN , REG. NO. : 192462005</w:t>
      </w:r>
    </w:p>
    <w:p w14:paraId="15BB6D45">
      <w:pPr>
        <w:spacing w:after="100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Unit 4 – Analytical Questions</w:t>
      </w:r>
    </w:p>
    <w:p w14:paraId="0E533CB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  <w:bookmarkStart w:id="0" w:name="_GoBack"/>
      <w:bookmarkEnd w:id="0"/>
    </w:p>
    <w:p w14:paraId="201F57E3">
      <w:pPr>
        <w:pStyle w:val="2"/>
        <w:spacing w:before="420" w:after="20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Q1. </w:t>
      </w:r>
      <w:r>
        <w:rPr>
          <w:rFonts w:hint="default" w:ascii="Times New Roman" w:hAnsi="Times New Roman" w:cs="Times New Roman"/>
          <w:sz w:val="32"/>
          <w:szCs w:val="32"/>
        </w:rPr>
        <w:t>IPSec architecture — AH and ESP secure communication model</w:t>
      </w:r>
    </w:p>
    <w:p w14:paraId="0AB56EEC">
      <w:pPr>
        <w:jc w:val="both"/>
        <w:rPr>
          <w:rFonts w:hint="default"/>
        </w:rPr>
      </w:pPr>
    </w:p>
    <w:p w14:paraId="0682B8DE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1 – Objective: </w:t>
      </w:r>
      <w:r>
        <w:rPr>
          <w:rFonts w:hint="default" w:ascii="Times New Roman" w:hAnsi="Times New Roman" w:cs="Times New Roman"/>
          <w:sz w:val="28"/>
          <w:szCs w:val="28"/>
        </w:rPr>
        <w:t>Model how IPSec secures IP packets in transit, and show how Authentication Header (AH) and Encapsulating Security Payload (ESP) each contribute to that protection.</w:t>
      </w:r>
    </w:p>
    <w:p w14:paraId="080CCD5A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2 – Identify the components: </w:t>
      </w:r>
      <w:r>
        <w:rPr>
          <w:rFonts w:hint="default" w:ascii="Times New Roman" w:hAnsi="Times New Roman" w:cs="Times New Roman"/>
          <w:sz w:val="28"/>
          <w:szCs w:val="28"/>
        </w:rPr>
        <w:t>IPSec is built on three pieces: Security Associations (SAs) that hold the negotiated algorithms and keys, AH for authentication/integrity, and ESP for confidentiality plus (optionally) authentication/integrity.</w:t>
      </w:r>
    </w:p>
    <w:p w14:paraId="02F40B61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3 – Model AH: </w:t>
      </w:r>
      <w:r>
        <w:rPr>
          <w:rFonts w:hint="default" w:ascii="Times New Roman" w:hAnsi="Times New Roman" w:cs="Times New Roman"/>
          <w:sz w:val="28"/>
          <w:szCs w:val="28"/>
        </w:rPr>
        <w:t>AH computes a keyed hash (ICV) over the immutable IP header fields and the payload, and adds a sequence number. The receiver recomputes the ICV; a mismatch means the packet was altered or spoofed, and an out-of-window sequence number means it is a replay.</w:t>
      </w:r>
    </w:p>
    <w:p w14:paraId="6B3A6EED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4 – Model ESP: </w:t>
      </w:r>
      <w:r>
        <w:rPr>
          <w:rFonts w:hint="default" w:ascii="Times New Roman" w:hAnsi="Times New Roman" w:cs="Times New Roman"/>
          <w:sz w:val="28"/>
          <w:szCs w:val="28"/>
        </w:rPr>
        <w:t>ESP encrypts the payload (e.g., AES-GCM) and appends its own ICV over the ciphertext. This hides the payload from eavesdroppers and — using authenticated encryption — verifies integrity and origin in the same pass.</w:t>
      </w:r>
    </w:p>
    <w:p w14:paraId="146ADD61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5 – Map defences to attacks: </w:t>
      </w:r>
      <w:r>
        <w:rPr>
          <w:rFonts w:hint="default" w:ascii="Times New Roman" w:hAnsi="Times New Roman" w:cs="Times New Roman"/>
          <w:sz w:val="28"/>
          <w:szCs w:val="28"/>
        </w:rPr>
        <w:t>Build a threat-to-mechanism table:</w:t>
      </w:r>
    </w:p>
    <w:p w14:paraId="373CE4D3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9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000"/>
        <w:gridCol w:w="2000"/>
      </w:tblGrid>
      <w:tr w14:paraId="6F0AA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51B82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Attack</w:t>
            </w:r>
          </w:p>
        </w:tc>
        <w:tc>
          <w:tcPr>
            <w:tcW w:w="40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1AA5A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Defence</w:t>
            </w:r>
          </w:p>
        </w:tc>
        <w:tc>
          <w:tcPr>
            <w:tcW w:w="20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E84F2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Protocol</w:t>
            </w:r>
          </w:p>
        </w:tc>
      </w:tr>
      <w:tr w14:paraId="25A68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F0EF5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Eavesdropping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A5DFF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Payload encryption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D6D21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ESP</w:t>
            </w:r>
          </w:p>
        </w:tc>
      </w:tr>
      <w:tr w14:paraId="30A0A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9F211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Tampering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1DF4C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Keyed hash (ICV)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FC0B2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AH, ESP</w:t>
            </w:r>
          </w:p>
        </w:tc>
      </w:tr>
      <w:tr w14:paraId="46A53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8694A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Spoofing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E363C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ICV covers header addresses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A4697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AH</w:t>
            </w:r>
          </w:p>
        </w:tc>
      </w:tr>
      <w:tr w14:paraId="7471C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16C18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Replay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67664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Sequence number + window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B0074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AH, ESP</w:t>
            </w:r>
          </w:p>
        </w:tc>
      </w:tr>
    </w:tbl>
    <w:p w14:paraId="3EBF324D">
      <w:pPr>
        <w:spacing w:after="8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CA635AE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6 – Conclusion: </w:t>
      </w:r>
      <w:r>
        <w:rPr>
          <w:rFonts w:hint="default" w:ascii="Times New Roman" w:hAnsi="Times New Roman" w:cs="Times New Roman"/>
          <w:sz w:val="28"/>
          <w:szCs w:val="28"/>
        </w:rPr>
        <w:t>ESP with authenticated encryption in tunnel mode is the most efficient single mechanism, covering confidentiality, integrity, authentication, and replay protection; AH is added only when header-level integrity beyond ESP's own coverage is required.</w:t>
      </w:r>
    </w:p>
    <w:p w14:paraId="3B39B957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60B34BB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4EBB66C">
      <w:pPr>
        <w:pStyle w:val="2"/>
        <w:spacing w:before="420" w:after="20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Q2. </w:t>
      </w:r>
      <w:r>
        <w:rPr>
          <w:rFonts w:hint="default" w:ascii="Times New Roman" w:hAnsi="Times New Roman" w:cs="Times New Roman"/>
          <w:sz w:val="32"/>
          <w:szCs w:val="32"/>
        </w:rPr>
        <w:t>AH vs ESP — performance comparison</w:t>
      </w:r>
    </w:p>
    <w:p w14:paraId="2F9BCEB5">
      <w:pPr>
        <w:spacing w:after="140"/>
        <w:jc w:val="both"/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</w:pPr>
    </w:p>
    <w:p w14:paraId="63B880DA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1 – Define comparison criteria: </w:t>
      </w:r>
      <w:r>
        <w:rPr>
          <w:rFonts w:hint="default" w:ascii="Times New Roman" w:hAnsi="Times New Roman" w:cs="Times New Roman"/>
          <w:sz w:val="28"/>
          <w:szCs w:val="28"/>
        </w:rPr>
        <w:t>Confidentiality, integrity, authentication, packet overhead, computational cost.</w:t>
      </w:r>
    </w:p>
    <w:p w14:paraId="4119F69B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2 – Set up the experiment: </w:t>
      </w:r>
      <w:r>
        <w:rPr>
          <w:rFonts w:hint="default" w:ascii="Times New Roman" w:hAnsi="Times New Roman" w:cs="Times New Roman"/>
          <w:sz w:val="28"/>
          <w:szCs w:val="28"/>
        </w:rPr>
        <w:t>Run identical traffic (e.g., iperf throughput test, ping latency test) over three configurations: no IPSec, AH-only, ESP-only, on the same link.</w:t>
      </w:r>
    </w:p>
    <w:p w14:paraId="66AA0E7E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3 – Record results: </w:t>
      </w:r>
      <w:r>
        <w:rPr>
          <w:rFonts w:hint="default" w:ascii="Times New Roman" w:hAnsi="Times New Roman" w:cs="Times New Roman"/>
          <w:sz w:val="28"/>
          <w:szCs w:val="28"/>
        </w:rPr>
        <w:t>Measure throughput (Mbps), latency (ms), and CPU utilisation for each configuration.</w:t>
      </w:r>
    </w:p>
    <w:p w14:paraId="0CA25AB9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9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3"/>
        <w:gridCol w:w="2802"/>
        <w:gridCol w:w="3535"/>
      </w:tblGrid>
      <w:tr w14:paraId="7A6C2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6AC41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Property</w:t>
            </w:r>
          </w:p>
        </w:tc>
        <w:tc>
          <w:tcPr>
            <w:tcW w:w="34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73703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AH</w:t>
            </w:r>
          </w:p>
        </w:tc>
        <w:tc>
          <w:tcPr>
            <w:tcW w:w="28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D087D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ESP</w:t>
            </w:r>
          </w:p>
        </w:tc>
      </w:tr>
      <w:tr w14:paraId="35D97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1D45B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Confidentiality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6BEAA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Not provided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57590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Provided</w:t>
            </w:r>
          </w:p>
        </w:tc>
      </w:tr>
      <w:tr w14:paraId="1EE8D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200A9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Integrity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4B215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Full packet incl. header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A334D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Payload + ESP header</w:t>
            </w:r>
          </w:p>
        </w:tc>
      </w:tr>
      <w:tr w14:paraId="381E1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F317D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Packet overhead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BBD64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~12–24 bytes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8127B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Header+trailer+padding+ICV</w:t>
            </w:r>
          </w:p>
        </w:tc>
      </w:tr>
      <w:tr w14:paraId="7639E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1A74A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Computational cost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7A4B2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Lower (hash only)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282A2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Higher (cipher+hash)</w:t>
            </w:r>
          </w:p>
        </w:tc>
      </w:tr>
      <w:tr w14:paraId="5718B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F6D55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Latency impact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EA2FD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~2–5%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F42A8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~8–15%</w:t>
            </w:r>
          </w:p>
        </w:tc>
      </w:tr>
    </w:tbl>
    <w:p w14:paraId="202F625D">
      <w:pPr>
        <w:spacing w:after="8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D40BBDF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4 – Interpret: </w:t>
      </w:r>
      <w:r>
        <w:rPr>
          <w:rFonts w:hint="default" w:ascii="Times New Roman" w:hAnsi="Times New Roman" w:cs="Times New Roman"/>
          <w:sz w:val="28"/>
          <w:szCs w:val="28"/>
        </w:rPr>
        <w:t>AH's cost is dominated by hashing, so it scales gently with packet size; ESP's cost is dominated by encryption, so overhead grows faster with payload size and shrinks with hardware-accelerated AES-GCM.</w:t>
      </w:r>
    </w:p>
    <w:p w14:paraId="08E5C656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5 – Conclusion: </w:t>
      </w:r>
      <w:r>
        <w:rPr>
          <w:rFonts w:hint="default" w:ascii="Times New Roman" w:hAnsi="Times New Roman" w:cs="Times New Roman"/>
          <w:sz w:val="28"/>
          <w:szCs w:val="28"/>
        </w:rPr>
        <w:t>Choose AH when header integrity without confidentiality is enough and overhead must stay minimal; choose ESP (with authenticated encryption) when confidentiality is required — which is the common case, making ESP the default choice in most deployments.</w:t>
      </w:r>
    </w:p>
    <w:p w14:paraId="54A0E696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F3FC6B1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537F20C">
      <w:pPr>
        <w:pStyle w:val="2"/>
        <w:spacing w:before="420" w:after="20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Q3. </w:t>
      </w:r>
      <w:r>
        <w:rPr>
          <w:rFonts w:hint="default" w:ascii="Times New Roman" w:hAnsi="Times New Roman" w:cs="Times New Roman"/>
          <w:sz w:val="32"/>
          <w:szCs w:val="32"/>
        </w:rPr>
        <w:t>SA management system for multiple sessions</w:t>
      </w:r>
    </w:p>
    <w:p w14:paraId="244C666C">
      <w:pPr>
        <w:spacing w:after="140"/>
        <w:jc w:val="both"/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</w:pPr>
    </w:p>
    <w:p w14:paraId="32759FE0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1 – Objective: </w:t>
      </w:r>
      <w:r>
        <w:rPr>
          <w:rFonts w:hint="default" w:ascii="Times New Roman" w:hAnsi="Times New Roman" w:cs="Times New Roman"/>
          <w:sz w:val="28"/>
          <w:szCs w:val="28"/>
        </w:rPr>
        <w:t>Support many concurrent secure sessions and evaluate resistance to replay and impersonation.</w:t>
      </w:r>
    </w:p>
    <w:p w14:paraId="7C3EC2A7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2 – Define the data model: </w:t>
      </w:r>
      <w:r>
        <w:rPr>
          <w:rFonts w:hint="default" w:ascii="Times New Roman" w:hAnsi="Times New Roman" w:cs="Times New Roman"/>
          <w:sz w:val="28"/>
          <w:szCs w:val="28"/>
        </w:rPr>
        <w:t>Security Association Database (SAD): keyed by (destination address, protocol, SPI); each entry holds keys, algorithms, sequence counter, anti-replay window, lifetime, mode. Security Policy Database (SPD): maps traffic selectors to bypass / discard / apply-IPSec-via-SA.</w:t>
      </w:r>
    </w:p>
    <w:p w14:paraId="24CB4CE8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3 – Handle session creation: </w:t>
      </w:r>
      <w:r>
        <w:rPr>
          <w:rFonts w:hint="default" w:ascii="Times New Roman" w:hAnsi="Times New Roman" w:cs="Times New Roman"/>
          <w:sz w:val="28"/>
          <w:szCs w:val="28"/>
        </w:rPr>
        <w:t>On new traffic matching an SPD 'apply-IPSec' rule with no matching SAD entry, trigger IKE to negotiate a fresh SA pair (inbound/outbound) and insert it into the SAD.</w:t>
      </w:r>
    </w:p>
    <w:p w14:paraId="54AA391D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4 – Handle concurrency: </w:t>
      </w:r>
      <w:r>
        <w:rPr>
          <w:rFonts w:hint="default" w:ascii="Times New Roman" w:hAnsi="Times New Roman" w:cs="Times New Roman"/>
          <w:sz w:val="28"/>
          <w:szCs w:val="28"/>
        </w:rPr>
        <w:t>Each SA's sequence counter and anti-replay window are independent, so many sessions run without interfering with each other's replay state.</w:t>
      </w:r>
    </w:p>
    <w:p w14:paraId="611C9140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5 – Test against replay: </w:t>
      </w:r>
      <w:r>
        <w:rPr>
          <w:rFonts w:hint="default" w:ascii="Times New Roman" w:hAnsi="Times New Roman" w:cs="Times New Roman"/>
          <w:sz w:val="28"/>
          <w:szCs w:val="28"/>
        </w:rPr>
        <w:t>Duplicate or delay a captured packet and resend it. Expected result: dropped, because its sequence number falls outside or repeats within the receiving SA's window.</w:t>
      </w:r>
    </w:p>
    <w:p w14:paraId="6B01B564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6 – Test against impersonation: </w:t>
      </w:r>
      <w:r>
        <w:rPr>
          <w:rFonts w:hint="default" w:ascii="Times New Roman" w:hAnsi="Times New Roman" w:cs="Times New Roman"/>
          <w:sz w:val="28"/>
          <w:szCs w:val="28"/>
        </w:rPr>
        <w:t>Attempt to inject a packet under a spoofed source address without the negotiated SA key. Expected result: dropped, because the ICV computed with the attacker's (wrong) key fails verification.</w:t>
      </w:r>
    </w:p>
    <w:p w14:paraId="7B2F6798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7 – Conclusion: </w:t>
      </w:r>
      <w:r>
        <w:rPr>
          <w:rFonts w:hint="default" w:ascii="Times New Roman" w:hAnsi="Times New Roman" w:cs="Times New Roman"/>
          <w:sz w:val="28"/>
          <w:szCs w:val="28"/>
        </w:rPr>
        <w:t>Per-SA state plus authenticated key negotiation via IKE lets the system scale to many sessions while independently defeating replay and impersonation on each one; enforcing short SA lifetimes further bounds the damage of any single key compromise.</w:t>
      </w:r>
    </w:p>
    <w:p w14:paraId="4E8B0E47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3953FAD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D696509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4836F44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E80191E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700A80E">
      <w:pPr>
        <w:pStyle w:val="2"/>
        <w:spacing w:before="420" w:after="20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Q4. </w:t>
      </w:r>
      <w:r>
        <w:rPr>
          <w:rFonts w:hint="default" w:ascii="Times New Roman" w:hAnsi="Times New Roman" w:cs="Times New Roman"/>
          <w:sz w:val="32"/>
          <w:szCs w:val="32"/>
        </w:rPr>
        <w:t>IPSec Transport mode vs Tunnel mode</w:t>
      </w:r>
    </w:p>
    <w:p w14:paraId="47708B77">
      <w:pPr>
        <w:spacing w:after="140"/>
        <w:jc w:val="both"/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</w:pPr>
    </w:p>
    <w:p w14:paraId="12CC80C2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1 – Objective: </w:t>
      </w:r>
      <w:r>
        <w:rPr>
          <w:rFonts w:hint="default" w:ascii="Times New Roman" w:hAnsi="Times New Roman" w:cs="Times New Roman"/>
          <w:sz w:val="28"/>
          <w:szCs w:val="28"/>
        </w:rPr>
        <w:t>Implement both modes for a given topology and compare packet formats and suitability.</w:t>
      </w:r>
    </w:p>
    <w:p w14:paraId="098C379C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2 – Transport mode packet construction: </w:t>
      </w:r>
      <w:r>
        <w:rPr>
          <w:rFonts w:hint="default" w:ascii="Times New Roman" w:hAnsi="Times New Roman" w:cs="Times New Roman"/>
          <w:sz w:val="28"/>
          <w:szCs w:val="28"/>
        </w:rPr>
        <w:t>Insert the AH/ESP header between the original IP header and payload; the original header is kept and used for routing.</w:t>
      </w:r>
    </w:p>
    <w:p w14:paraId="12C365C8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3 – Tunnel mode packet construction: </w:t>
      </w:r>
      <w:r>
        <w:rPr>
          <w:rFonts w:hint="default" w:ascii="Times New Roman" w:hAnsi="Times New Roman" w:cs="Times New Roman"/>
          <w:sz w:val="28"/>
          <w:szCs w:val="28"/>
        </w:rPr>
        <w:t>Encapsulate the entire original IP packet as payload inside a new outer IP packet; the outer header carries the gateway addresses.</w:t>
      </w:r>
    </w:p>
    <w:p w14:paraId="3F768BB3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9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400"/>
        <w:gridCol w:w="2800"/>
      </w:tblGrid>
      <w:tr w14:paraId="0F84F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BB65A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Feature</w:t>
            </w:r>
          </w:p>
        </w:tc>
        <w:tc>
          <w:tcPr>
            <w:tcW w:w="34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9DB04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Transport mode</w:t>
            </w:r>
          </w:p>
        </w:tc>
        <w:tc>
          <w:tcPr>
            <w:tcW w:w="28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4ED6D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Tunnel mode</w:t>
            </w:r>
          </w:p>
        </w:tc>
      </w:tr>
      <w:tr w14:paraId="46475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A9C6D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Original header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40062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Preserved, visible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F49A5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Hidden inside new packet</w:t>
            </w:r>
          </w:p>
        </w:tc>
      </w:tr>
      <w:tr w14:paraId="004DE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0B77E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Overhead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D66EA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Lower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3C5A2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Higher (extra IP header)</w:t>
            </w:r>
          </w:p>
        </w:tc>
      </w:tr>
      <w:tr w14:paraId="4E42E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B9DE0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Typical use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4ABC6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Host-to-host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F9CCC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Gateway-to-gateway VPN</w:t>
            </w:r>
          </w:p>
        </w:tc>
      </w:tr>
    </w:tbl>
    <w:p w14:paraId="7B7FE672">
      <w:pPr>
        <w:spacing w:after="8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941A210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4 – Apply to the topology: </w:t>
      </w:r>
      <w:r>
        <w:rPr>
          <w:rFonts w:hint="default" w:ascii="Times New Roman" w:hAnsi="Times New Roman" w:cs="Times New Roman"/>
          <w:sz w:val="28"/>
          <w:szCs w:val="28"/>
        </w:rPr>
        <w:t>For two branch-office gateways linking private subnets over the Internet: use Tunnel mode so internal addressing stays hidden and policy applies per subnet. For two IPSec-aware servers needing direct end-to-end protection: use Transport mode to avoid the second IP header.</w:t>
      </w:r>
    </w:p>
    <w:p w14:paraId="7D537059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5 – Conclusion: </w:t>
      </w:r>
      <w:r>
        <w:rPr>
          <w:rFonts w:hint="default" w:ascii="Times New Roman" w:hAnsi="Times New Roman" w:cs="Times New Roman"/>
          <w:sz w:val="28"/>
          <w:szCs w:val="28"/>
        </w:rPr>
        <w:t>Mode choice follows from where the security boundary sits — at the end hosts (Transport) or at gateways protecting whole networks behind them (Tunnel).</w:t>
      </w:r>
    </w:p>
    <w:p w14:paraId="4244FFF4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712E34D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CAA4CF0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E24B9E9">
      <w:pPr>
        <w:pStyle w:val="2"/>
        <w:spacing w:before="420" w:after="20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Q5. </w:t>
      </w:r>
      <w:r>
        <w:rPr>
          <w:rFonts w:hint="default" w:ascii="Times New Roman" w:hAnsi="Times New Roman" w:cs="Times New Roman"/>
          <w:sz w:val="32"/>
          <w:szCs w:val="32"/>
        </w:rPr>
        <w:t>Internet Key Exchange (IKE) — dynamic key management</w:t>
      </w:r>
    </w:p>
    <w:p w14:paraId="06EE190C">
      <w:pPr>
        <w:spacing w:after="140"/>
        <w:jc w:val="both"/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</w:pPr>
    </w:p>
    <w:p w14:paraId="2D49E617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1 – Objective: </w:t>
      </w:r>
      <w:r>
        <w:rPr>
          <w:rFonts w:hint="default" w:ascii="Times New Roman" w:hAnsi="Times New Roman" w:cs="Times New Roman"/>
          <w:sz w:val="28"/>
          <w:szCs w:val="28"/>
        </w:rPr>
        <w:t>Build a simplified IKE flow and compare it against static key distribution.</w:t>
      </w:r>
    </w:p>
    <w:p w14:paraId="6823E076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2 – Phase 1 (IKE SA): </w:t>
      </w:r>
      <w:r>
        <w:rPr>
          <w:rFonts w:hint="default" w:ascii="Times New Roman" w:hAnsi="Times New Roman" w:cs="Times New Roman"/>
          <w:sz w:val="28"/>
          <w:szCs w:val="28"/>
        </w:rPr>
        <w:t>Perform a Diffie–Hellman exchange combined with mutual authentication (pre-shared key or certificate) to establish a protected control channel, without ever transmitting the shared secret itself.</w:t>
      </w:r>
    </w:p>
    <w:p w14:paraId="5EDB3B56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3 – Phase 2 (IPSec SA): </w:t>
      </w:r>
      <w:r>
        <w:rPr>
          <w:rFonts w:hint="default" w:ascii="Times New Roman" w:hAnsi="Times New Roman" w:cs="Times New Roman"/>
          <w:sz w:val="28"/>
          <w:szCs w:val="28"/>
        </w:rPr>
        <w:t>Inside the protected Phase-1 channel, negotiate SPI and algorithms for AH/ESP, then derive session keys from the Phase-1 master secret via a key-derivation function (optionally with an extra DH exchange for Perfect Forward Secrecy).</w:t>
      </w:r>
    </w:p>
    <w:p w14:paraId="6E8BCE87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4 – Rekeying: </w:t>
      </w:r>
      <w:r>
        <w:rPr>
          <w:rFonts w:hint="default" w:ascii="Times New Roman" w:hAnsi="Times New Roman" w:cs="Times New Roman"/>
          <w:sz w:val="28"/>
          <w:szCs w:val="28"/>
        </w:rPr>
        <w:t>Before an SA's configured lifetime expires, IKE automatically negotiates fresh keys, so no session ever runs indefinitely on the same key.</w:t>
      </w:r>
    </w:p>
    <w:p w14:paraId="0E9B3542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5 – Compare to static distribution: </w:t>
      </w:r>
      <w:r>
        <w:rPr>
          <w:rFonts w:hint="default" w:ascii="Times New Roman" w:hAnsi="Times New Roman" w:cs="Times New Roman"/>
          <w:sz w:val="28"/>
          <w:szCs w:val="28"/>
        </w:rPr>
        <w:t>Static keys are manually configured, rarely rotated, and — if leaked — compromise all past and future traffic under that key. Manual redistribution to many endpoints is slow and error-prone.</w:t>
      </w:r>
    </w:p>
    <w:p w14:paraId="19BCAD9D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6 – Conclusion: </w:t>
      </w:r>
      <w:r>
        <w:rPr>
          <w:rFonts w:hint="default" w:ascii="Times New Roman" w:hAnsi="Times New Roman" w:cs="Times New Roman"/>
          <w:sz w:val="28"/>
          <w:szCs w:val="28"/>
        </w:rPr>
        <w:t>Dynamic key management bounds key lifetime automatically, derives a fresh key per session, and (with PFS) isolates each session's compromise from all others — a materially stronger security posture than static keys, at the cost of the extra negotiation overhead.</w:t>
      </w:r>
    </w:p>
    <w:p w14:paraId="3CE92EE6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2A169A8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59FCBB2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889A36B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5F41115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F6E7802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301B3D1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ED4265F">
      <w:pPr>
        <w:pStyle w:val="2"/>
        <w:spacing w:before="420" w:after="20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Q6. </w:t>
      </w:r>
      <w:r>
        <w:rPr>
          <w:rFonts w:hint="default" w:ascii="Times New Roman" w:hAnsi="Times New Roman" w:cs="Times New Roman"/>
          <w:sz w:val="32"/>
          <w:szCs w:val="32"/>
        </w:rPr>
        <w:t>Email header analysis — spoofing and phishing</w:t>
      </w:r>
    </w:p>
    <w:p w14:paraId="54C69955">
      <w:pPr>
        <w:spacing w:after="140"/>
        <w:jc w:val="both"/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</w:pPr>
    </w:p>
    <w:p w14:paraId="4717F53C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1 – Objective: </w:t>
      </w:r>
      <w:r>
        <w:rPr>
          <w:rFonts w:hint="default" w:ascii="Times New Roman" w:hAnsi="Times New Roman" w:cs="Times New Roman"/>
          <w:sz w:val="28"/>
          <w:szCs w:val="28"/>
        </w:rPr>
        <w:t>Read a raw email header and identify the true sender, mail path, and forgery indicators.</w:t>
      </w:r>
    </w:p>
    <w:p w14:paraId="5CA9C1CC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2 – Locate the sender fields: </w:t>
      </w:r>
      <w:r>
        <w:rPr>
          <w:rFonts w:hint="default" w:ascii="Times New Roman" w:hAnsi="Times New Roman" w:cs="Times New Roman"/>
          <w:sz w:val="28"/>
          <w:szCs w:val="28"/>
        </w:rPr>
        <w:t>Compare From (displayed sender), Reply-To (where replies go), and Return-Path (bounce address) — legitimate mail usually keeps these consistent; spoofed mail often does not.</w:t>
      </w:r>
    </w:p>
    <w:p w14:paraId="2AC0A2A1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3 – Trace the Received chain: </w:t>
      </w:r>
      <w:r>
        <w:rPr>
          <w:rFonts w:hint="default" w:ascii="Times New Roman" w:hAnsi="Times New Roman" w:cs="Times New Roman"/>
          <w:sz w:val="28"/>
          <w:szCs w:val="28"/>
        </w:rPr>
        <w:t>Read Received headers bottom-to-top to reconstruct the path from originating server to inbox; the bottom-most entry is closest to the true origin.</w:t>
      </w:r>
    </w:p>
    <w:p w14:paraId="1204887A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4 – Check authentication results: </w:t>
      </w:r>
      <w:r>
        <w:rPr>
          <w:rFonts w:hint="default" w:ascii="Times New Roman" w:hAnsi="Times New Roman" w:cs="Times New Roman"/>
          <w:sz w:val="28"/>
          <w:szCs w:val="28"/>
        </w:rPr>
        <w:t>Inspect the Authentication-Results field for SPF (is the sending IP authorised for this domain?), DKIM (was the message cryptographically signed and unaltered?), and DMARC (do SPF/DKIM align with the From domain, and what policy applies on failure?).</w:t>
      </w:r>
    </w:p>
    <w:p w14:paraId="23276C35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5 – Flag indicators: </w:t>
      </w:r>
      <w:r>
        <w:rPr>
          <w:rFonts w:hint="default" w:ascii="Times New Roman" w:hAnsi="Times New Roman" w:cs="Times New Roman"/>
          <w:sz w:val="28"/>
          <w:szCs w:val="28"/>
        </w:rPr>
        <w:t>SPF/DKIM/DMARC failures, mismatched From/Reply-To domains, an implausible Received path, and disguised link destinations are the concrete indicators of spoofing or phishing.</w:t>
      </w:r>
    </w:p>
    <w:p w14:paraId="5523961F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6 – Conclusion: </w:t>
      </w:r>
      <w:r>
        <w:rPr>
          <w:rFonts w:hint="default" w:ascii="Times New Roman" w:hAnsi="Times New Roman" w:cs="Times New Roman"/>
          <w:sz w:val="28"/>
          <w:szCs w:val="28"/>
        </w:rPr>
        <w:t>Combining automated SPF/DKIM/DMARC verdicts with manual inspection of the Received chain and sender-field consistency reliably separates legitimate mail from spoofed or phishing attempts.</w:t>
      </w:r>
    </w:p>
    <w:p w14:paraId="1CAF26FB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2E61E94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BCEB054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784FE28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9500E3D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23A8E71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BBFE322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5294625">
      <w:pPr>
        <w:pStyle w:val="2"/>
        <w:spacing w:before="420" w:after="20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Q7. </w:t>
      </w:r>
      <w:r>
        <w:rPr>
          <w:rFonts w:hint="default" w:ascii="Times New Roman" w:hAnsi="Times New Roman" w:cs="Times New Roman"/>
          <w:sz w:val="32"/>
          <w:szCs w:val="32"/>
        </w:rPr>
        <w:t>PGP-based secure email system</w:t>
      </w:r>
    </w:p>
    <w:p w14:paraId="542935DB">
      <w:pPr>
        <w:spacing w:after="140"/>
        <w:jc w:val="both"/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</w:pPr>
    </w:p>
    <w:p w14:paraId="75D70F54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1 – Objective: </w:t>
      </w:r>
      <w:r>
        <w:rPr>
          <w:rFonts w:hint="default" w:ascii="Times New Roman" w:hAnsi="Times New Roman" w:cs="Times New Roman"/>
          <w:sz w:val="28"/>
          <w:szCs w:val="28"/>
        </w:rPr>
        <w:t>Design a PGP flow and evaluate the security services it provides.</w:t>
      </w:r>
    </w:p>
    <w:p w14:paraId="3CB0D2E4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2 – Sender-side encryption: </w:t>
      </w:r>
      <w:r>
        <w:rPr>
          <w:rFonts w:hint="default" w:ascii="Times New Roman" w:hAnsi="Times New Roman" w:cs="Times New Roman"/>
          <w:sz w:val="28"/>
          <w:szCs w:val="28"/>
        </w:rPr>
        <w:t>Generate a random session key; encrypt the message body with it using a symmetric cipher (AES); encrypt the session key itself with the recipient's public key.</w:t>
      </w:r>
    </w:p>
    <w:p w14:paraId="32EABE83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3 – Sender-side signing: </w:t>
      </w:r>
      <w:r>
        <w:rPr>
          <w:rFonts w:hint="default" w:ascii="Times New Roman" w:hAnsi="Times New Roman" w:cs="Times New Roman"/>
          <w:sz w:val="28"/>
          <w:szCs w:val="28"/>
        </w:rPr>
        <w:t>Hash the message, sign the hash with the sender's private key, and attach the signature.</w:t>
      </w:r>
    </w:p>
    <w:p w14:paraId="2BA80974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4 – Recipient-side decryption: </w:t>
      </w:r>
      <w:r>
        <w:rPr>
          <w:rFonts w:hint="default" w:ascii="Times New Roman" w:hAnsi="Times New Roman" w:cs="Times New Roman"/>
          <w:sz w:val="28"/>
          <w:szCs w:val="28"/>
        </w:rPr>
        <w:t>Decrypt the session key using the recipient's private key, then decrypt the message body with that session key.</w:t>
      </w:r>
    </w:p>
    <w:p w14:paraId="22EA4108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5 – Recipient-side verification: </w:t>
      </w:r>
      <w:r>
        <w:rPr>
          <w:rFonts w:hint="default" w:ascii="Times New Roman" w:hAnsi="Times New Roman" w:cs="Times New Roman"/>
          <w:sz w:val="28"/>
          <w:szCs w:val="28"/>
        </w:rPr>
        <w:t>Recompute the hash of the decrypted message and verify it against the signature using the sender's public key.</w:t>
      </w:r>
    </w:p>
    <w:p w14:paraId="589DA9C6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6 – Map to security services: </w:t>
      </w:r>
      <w:r>
        <w:rPr>
          <w:rFonts w:hint="default" w:ascii="Times New Roman" w:hAnsi="Times New Roman" w:cs="Times New Roman"/>
          <w:sz w:val="28"/>
          <w:szCs w:val="28"/>
        </w:rPr>
        <w:t>Confidentiality: only the recipient's private key can recover the session key. Integrity: any alteration changes the hash and breaks verification. Authentication: a valid signature proves the sender held the claimed private key. Non-repudiation: the sender cannot credibly deny signing, so long as their private key was not compromised.</w:t>
      </w:r>
    </w:p>
    <w:p w14:paraId="7439D2E0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7 – Conclusion: </w:t>
      </w:r>
      <w:r>
        <w:rPr>
          <w:rFonts w:hint="default" w:ascii="Times New Roman" w:hAnsi="Times New Roman" w:cs="Times New Roman"/>
          <w:sz w:val="28"/>
          <w:szCs w:val="28"/>
        </w:rPr>
        <w:t>This combination of one-time symmetric encryption, asymmetric key wrapping, and digital signatures delivers all four core services without a central certificate authority — at the cost of relying on a decentralised web of trust for public-key validation.</w:t>
      </w:r>
    </w:p>
    <w:p w14:paraId="1F0B6DE7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ED01BF6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B0407F4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8E3C456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80CA357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5F3D4AD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68586E5">
      <w:pPr>
        <w:pStyle w:val="2"/>
        <w:spacing w:before="420" w:after="20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Q8. </w:t>
      </w:r>
      <w:r>
        <w:rPr>
          <w:rFonts w:hint="default" w:ascii="Times New Roman" w:hAnsi="Times New Roman" w:cs="Times New Roman"/>
          <w:sz w:val="32"/>
          <w:szCs w:val="32"/>
        </w:rPr>
        <w:t>PGP vs S/MIME</w:t>
      </w:r>
    </w:p>
    <w:p w14:paraId="7EDA7F0B">
      <w:pPr>
        <w:spacing w:after="140"/>
        <w:jc w:val="both"/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</w:pPr>
    </w:p>
    <w:p w14:paraId="107C5FA8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1 – Objective: </w:t>
      </w:r>
      <w:r>
        <w:rPr>
          <w:rFonts w:hint="default" w:ascii="Times New Roman" w:hAnsi="Times New Roman" w:cs="Times New Roman"/>
          <w:sz w:val="28"/>
          <w:szCs w:val="28"/>
        </w:rPr>
        <w:t>Implement/compare both for secure email and analyse the operational differences.</w:t>
      </w:r>
    </w:p>
    <w:p w14:paraId="05B08F8D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2 – Compare trust models: </w:t>
      </w:r>
      <w:r>
        <w:rPr>
          <w:rFonts w:hint="default" w:ascii="Times New Roman" w:hAnsi="Times New Roman" w:cs="Times New Roman"/>
          <w:sz w:val="28"/>
          <w:szCs w:val="28"/>
        </w:rPr>
        <w:t>PGP: web of trust, users sign each other's keys. S/MIME: hierarchical PKI, certificates issued by a trusted CA.</w:t>
      </w:r>
    </w:p>
    <w:p w14:paraId="60A021D8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9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400"/>
        <w:gridCol w:w="2800"/>
      </w:tblGrid>
      <w:tr w14:paraId="7BCD0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210BC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Dimension</w:t>
            </w:r>
          </w:p>
        </w:tc>
        <w:tc>
          <w:tcPr>
            <w:tcW w:w="34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C0245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PGP</w:t>
            </w:r>
          </w:p>
        </w:tc>
        <w:tc>
          <w:tcPr>
            <w:tcW w:w="28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D49FF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S/MIME</w:t>
            </w:r>
          </w:p>
        </w:tc>
      </w:tr>
      <w:tr w14:paraId="05DA9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038FB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Key distribution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7130A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Manual / key servers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170C2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Via organisational PKI (e.g., LDAP/AD)</w:t>
            </w:r>
          </w:p>
        </w:tc>
      </w:tr>
      <w:tr w14:paraId="05F8F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C110D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Scalability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F913D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Harder — trust propagates organically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2D953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Scales well inside an existing PKI</w:t>
            </w:r>
          </w:p>
        </w:tc>
      </w:tr>
      <w:tr w14:paraId="5209B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ACF81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Enterprise fit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29522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Common in technical communities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816A0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Native in Outlook and most enterprise clients</w:t>
            </w:r>
          </w:p>
        </w:tc>
      </w:tr>
    </w:tbl>
    <w:p w14:paraId="34757683">
      <w:pPr>
        <w:spacing w:after="8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8250D80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3 – Evaluate scalability: </w:t>
      </w:r>
      <w:r>
        <w:rPr>
          <w:rFonts w:hint="default" w:ascii="Times New Roman" w:hAnsi="Times New Roman" w:cs="Times New Roman"/>
          <w:sz w:val="28"/>
          <w:szCs w:val="28"/>
        </w:rPr>
        <w:t>PGP requires each user to build trust relationships manually, which does not scale cleanly to large organisations; S/MIME reuses an existing CA hierarchy that enterprises already maintain for other purposes.</w:t>
      </w:r>
    </w:p>
    <w:p w14:paraId="6D49D85E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4 – Evaluate deployment cost: </w:t>
      </w:r>
      <w:r>
        <w:rPr>
          <w:rFonts w:hint="default" w:ascii="Times New Roman" w:hAnsi="Times New Roman" w:cs="Times New Roman"/>
          <w:sz w:val="28"/>
          <w:szCs w:val="28"/>
        </w:rPr>
        <w:t>S/MIME integrates with certificates most enterprise mail clients already support; PGP requires separate tooling/plugins and user education on key management.</w:t>
      </w:r>
    </w:p>
    <w:p w14:paraId="77E0AEB7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5 – Conclusion: </w:t>
      </w:r>
      <w:r>
        <w:rPr>
          <w:rFonts w:hint="default" w:ascii="Times New Roman" w:hAnsi="Times New Roman" w:cs="Times New Roman"/>
          <w:sz w:val="28"/>
          <w:szCs w:val="28"/>
        </w:rPr>
        <w:t>S/MIME is generally preferable inside a single organisation with an existing CA; PGP is preferable for cross-organisational or informal communication where no shared CA exists.</w:t>
      </w:r>
    </w:p>
    <w:p w14:paraId="69182A8D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8E1B1CD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466F876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19FDD5C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ECA4DB9">
      <w:pPr>
        <w:pStyle w:val="2"/>
        <w:spacing w:before="420" w:after="20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Q9. </w:t>
      </w:r>
      <w:r>
        <w:rPr>
          <w:rFonts w:hint="default" w:ascii="Times New Roman" w:hAnsi="Times New Roman" w:cs="Times New Roman"/>
          <w:sz w:val="32"/>
          <w:szCs w:val="32"/>
        </w:rPr>
        <w:t>ML-based email spam detection</w:t>
      </w:r>
    </w:p>
    <w:p w14:paraId="496FA1DD">
      <w:pPr>
        <w:spacing w:after="140"/>
        <w:jc w:val="both"/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</w:pPr>
    </w:p>
    <w:p w14:paraId="229FE1D6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1 – Objective: </w:t>
      </w:r>
      <w:r>
        <w:rPr>
          <w:rFonts w:hint="default" w:ascii="Times New Roman" w:hAnsi="Times New Roman" w:cs="Times New Roman"/>
          <w:sz w:val="28"/>
          <w:szCs w:val="28"/>
        </w:rPr>
        <w:t>Build a classifier that separates spam from legitimate ('ham') email and evaluate it properly.</w:t>
      </w:r>
    </w:p>
    <w:p w14:paraId="6086FBED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2 – Collect and label data: </w:t>
      </w:r>
      <w:r>
        <w:rPr>
          <w:rFonts w:hint="default" w:ascii="Times New Roman" w:hAnsi="Times New Roman" w:cs="Times New Roman"/>
          <w:sz w:val="28"/>
          <w:szCs w:val="28"/>
        </w:rPr>
        <w:t>Assemble a labelled dataset of spam and ham messages (e.g., a public corpus such as SpamAssassin or Enron-spam).</w:t>
      </w:r>
    </w:p>
    <w:p w14:paraId="29390AAF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3 – Extract features: </w:t>
      </w:r>
      <w:r>
        <w:rPr>
          <w:rFonts w:hint="default" w:ascii="Times New Roman" w:hAnsi="Times New Roman" w:cs="Times New Roman"/>
          <w:sz w:val="28"/>
          <w:szCs w:val="28"/>
        </w:rPr>
        <w:t>Tokenise subject/body text and represent it as a bag-of-words or TF-IDF vector; optionally add header-based features (sender reputation, link count).</w:t>
      </w:r>
    </w:p>
    <w:p w14:paraId="0D98A9B6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4 – Train the classifier: </w:t>
      </w:r>
      <w:r>
        <w:rPr>
          <w:rFonts w:hint="default" w:ascii="Times New Roman" w:hAnsi="Times New Roman" w:cs="Times New Roman"/>
          <w:sz w:val="28"/>
          <w:szCs w:val="28"/>
        </w:rPr>
        <w:t>Fit a Naïve Bayes model, estimating P(spam | tokens) from token frequencies under Bayes' theorem with a conditional-independence assumption; alternatively fit an SVM to find the maximum-margin separating hyperplane in the feature space.</w:t>
      </w:r>
    </w:p>
    <w:p w14:paraId="59066355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5 – Evaluate on a held-out set: </w:t>
      </w:r>
      <w:r>
        <w:rPr>
          <w:rFonts w:hint="default" w:ascii="Times New Roman" w:hAnsi="Times New Roman" w:cs="Times New Roman"/>
          <w:sz w:val="28"/>
          <w:szCs w:val="28"/>
        </w:rPr>
        <w:t>Compute accuracy (overall correctness), precision (of flagged spam, how much is truly spam), recall (of all true spam, how much was caught), and F1-score (harmonic mean of precision/recall).</w:t>
      </w:r>
    </w:p>
    <w:p w14:paraId="497FF493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6 – Interpret trade-offs: </w:t>
      </w:r>
      <w:r>
        <w:rPr>
          <w:rFonts w:hint="default" w:ascii="Times New Roman" w:hAnsi="Times New Roman" w:cs="Times New Roman"/>
          <w:sz w:val="28"/>
          <w:szCs w:val="28"/>
        </w:rPr>
        <w:t>Because a false positive (legitimate mail marked spam) is usually costlier to the user than a false negative, precision is typically weighted more heavily than recall when tuning the classifier's decision threshold.</w:t>
      </w:r>
    </w:p>
    <w:p w14:paraId="5D46FB7C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7 – Conclusion: </w:t>
      </w:r>
      <w:r>
        <w:rPr>
          <w:rFonts w:hint="default" w:ascii="Times New Roman" w:hAnsi="Times New Roman" w:cs="Times New Roman"/>
          <w:sz w:val="28"/>
          <w:szCs w:val="28"/>
        </w:rPr>
        <w:t>Naïve Bayes gives a fast, strong baseline on sparse text features; SVM often edges it out on accuracy at higher computational cost — the right choice depends on the precision/recall balance and latency budget required.</w:t>
      </w:r>
    </w:p>
    <w:p w14:paraId="05C5A2E5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5D078FA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82D173D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91677FC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5F16332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DD2B9B7">
      <w:pPr>
        <w:pStyle w:val="2"/>
        <w:spacing w:before="420" w:after="20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0A98982">
      <w:pPr>
        <w:pStyle w:val="2"/>
        <w:spacing w:before="420" w:after="20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Q10. </w:t>
      </w:r>
      <w:r>
        <w:rPr>
          <w:rFonts w:hint="default" w:ascii="Times New Roman" w:hAnsi="Times New Roman" w:cs="Times New Roman"/>
          <w:sz w:val="32"/>
          <w:szCs w:val="32"/>
        </w:rPr>
        <w:t>Integrated email security solution</w:t>
      </w:r>
    </w:p>
    <w:p w14:paraId="3A001490">
      <w:pPr>
        <w:spacing w:after="140"/>
        <w:jc w:val="both"/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</w:pPr>
    </w:p>
    <w:p w14:paraId="543D9CD3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1 – Objective: </w:t>
      </w:r>
      <w:r>
        <w:rPr>
          <w:rFonts w:hint="default" w:ascii="Times New Roman" w:hAnsi="Times New Roman" w:cs="Times New Roman"/>
          <w:sz w:val="28"/>
          <w:szCs w:val="28"/>
        </w:rPr>
        <w:t>Combine header analysis, spam filtering, phishing detection, and signature verification into one pipeline and evaluate its effectiveness.</w:t>
      </w:r>
    </w:p>
    <w:p w14:paraId="5D339B2F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2 – Stage 1: header verification: </w:t>
      </w:r>
      <w:r>
        <w:rPr>
          <w:rFonts w:hint="default" w:ascii="Times New Roman" w:hAnsi="Times New Roman" w:cs="Times New Roman"/>
          <w:sz w:val="28"/>
          <w:szCs w:val="28"/>
        </w:rPr>
        <w:t>Run SPF, DKIM, and DMARC checks at the mail gateway before delivery; reject or quarantine on hard failures.</w:t>
      </w:r>
    </w:p>
    <w:p w14:paraId="4435FAA8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3 – Stage 2: spam filtering: </w:t>
      </w:r>
      <w:r>
        <w:rPr>
          <w:rFonts w:hint="default" w:ascii="Times New Roman" w:hAnsi="Times New Roman" w:cs="Times New Roman"/>
          <w:sz w:val="28"/>
          <w:szCs w:val="28"/>
        </w:rPr>
        <w:t>Score the message with the ML classifier from Q9; route high-confidence spam to quarantine.</w:t>
      </w:r>
    </w:p>
    <w:p w14:paraId="28A4BF83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4 – Stage 3: phishing detection: </w:t>
      </w:r>
      <w:r>
        <w:rPr>
          <w:rFonts w:hint="default" w:ascii="Times New Roman" w:hAnsi="Times New Roman" w:cs="Times New Roman"/>
          <w:sz w:val="28"/>
          <w:szCs w:val="28"/>
        </w:rPr>
        <w:t>Check URLs/domains against reputation lists, rewrite links for click-time scanning, and flag look-alike domains impersonating known brands.</w:t>
      </w:r>
    </w:p>
    <w:p w14:paraId="57AADD65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5 – Stage 4: signature verification: </w:t>
      </w:r>
      <w:r>
        <w:rPr>
          <w:rFonts w:hint="default" w:ascii="Times New Roman" w:hAnsi="Times New Roman" w:cs="Times New Roman"/>
          <w:sz w:val="28"/>
          <w:szCs w:val="28"/>
        </w:rPr>
        <w:t>For signed mail, verify PGP/S/MIME signatures to confirm sender authenticity and message integrity.</w:t>
      </w:r>
    </w:p>
    <w:p w14:paraId="55F38874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6 – Combine into a risk score: </w:t>
      </w:r>
      <w:r>
        <w:rPr>
          <w:rFonts w:hint="default" w:ascii="Times New Roman" w:hAnsi="Times New Roman" w:cs="Times New Roman"/>
          <w:sz w:val="28"/>
          <w:szCs w:val="28"/>
        </w:rPr>
        <w:t>Aggregate the four stage outputs into a single risk rating (e.g., weighted sum or rule-based escalation) rather than relying on any one stage's binary verdict.</w:t>
      </w:r>
    </w:p>
    <w:p w14:paraId="1028C507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7 – Evaluate effectiveness: </w:t>
      </w:r>
      <w:r>
        <w:rPr>
          <w:rFonts w:hint="default" w:ascii="Times New Roman" w:hAnsi="Times New Roman" w:cs="Times New Roman"/>
          <w:sz w:val="28"/>
          <w:szCs w:val="28"/>
        </w:rPr>
        <w:t>Because modern attacks blend techniques (e.g., a spoofed domain carrying a phishing link that also evades a spam filter), layered detection catches threats that any single stage would miss, improving overall detection coverage and reducing false negatives compared with a single-technique filter.</w:t>
      </w:r>
    </w:p>
    <w:p w14:paraId="76E88780">
      <w:pPr>
        <w:spacing w:after="1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4E5F"/>
          <w:sz w:val="28"/>
          <w:szCs w:val="28"/>
        </w:rPr>
        <w:t xml:space="preserve">Step 8 – Conclusion: </w:t>
      </w:r>
      <w:r>
        <w:rPr>
          <w:rFonts w:hint="default" w:ascii="Times New Roman" w:hAnsi="Times New Roman" w:cs="Times New Roman"/>
          <w:sz w:val="28"/>
          <w:szCs w:val="28"/>
        </w:rPr>
        <w:t>An integrated pipeline is more resilient than any individual defence because it forces an attacker to simultaneously defeat authentication checks, statistical spam detection, reputation-based phishing detection, and cryptographic signature verification — a materially higher bar than bypassing one filter alone.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A5437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2055</Words>
  <Characters>11595</Characters>
  <TotalTime>6</TotalTime>
  <ScaleCrop>false</ScaleCrop>
  <LinksUpToDate>false</LinksUpToDate>
  <CharactersWithSpaces>13519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2026-08-05T09:40:00Z</dcterms:created>
  <dc:creator>Un-named</dc:creator>
  <cp:lastModifiedBy>Parveen</cp:lastModifiedBy>
  <dcterms:modified xsi:type="dcterms:W3CDTF">2026-08-05T09:53:07Z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eyJoZGlkIjoiODYzYzMyMzQzZjY3ZDY1ODY2NjIwODM5ZTIxMGFjNmYiLCJ1c2VySWQiOiI1Njc1MDYzNTEyNTUifQ==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777858FA0C8440BC98171AFBC0A7AC52_12</vt:lpwstr>
  </property>
</Properties>
</file>