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D42E1">
      <w:pPr>
        <w:spacing w:after="500"/>
        <w:rPr>
          <w:rFonts w:hint="default" w:ascii="Times New Roman" w:hAnsi="Times New Roman" w:cs="Times New Roman"/>
          <w:i w:val="0"/>
          <w:iCs w:val="0"/>
        </w:rPr>
      </w:pPr>
      <w:bookmarkStart w:id="0" w:name="_GoBack"/>
      <w:bookmarkEnd w:id="0"/>
    </w:p>
    <w:p w14:paraId="2C7CF708">
      <w:pPr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52"/>
          <w:szCs w:val="52"/>
        </w:rPr>
        <w:t>CO2 – AT2</w:t>
      </w:r>
    </w:p>
    <w:p w14:paraId="5C5458C0">
      <w:pPr>
        <w:spacing w:after="150"/>
        <w:rPr>
          <w:rFonts w:hint="default" w:ascii="Times New Roman" w:hAnsi="Times New Roman" w:cs="Times New Roman"/>
          <w:i w:val="0"/>
          <w:iCs w:val="0"/>
        </w:rPr>
      </w:pPr>
    </w:p>
    <w:p w14:paraId="5910946D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B8860B"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B8860B"/>
          <w:sz w:val="34"/>
          <w:szCs w:val="34"/>
        </w:rPr>
        <w:t>CLASS TEST</w:t>
      </w:r>
    </w:p>
    <w:p w14:paraId="4659D145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B8860B"/>
          <w:sz w:val="34"/>
          <w:szCs w:val="34"/>
        </w:rPr>
      </w:pPr>
    </w:p>
    <w:p w14:paraId="1A5375CE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34"/>
          <w:szCs w:val="3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34"/>
          <w:szCs w:val="34"/>
          <w:lang w:val="en-US"/>
          <w14:textFill>
            <w14:solidFill>
              <w14:schemeClr w14:val="tx1"/>
            </w14:solidFill>
          </w14:textFill>
        </w:rPr>
        <w:t>STUDENT NAME : PARVEEN</w:t>
      </w:r>
    </w:p>
    <w:p w14:paraId="1B48F311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34"/>
          <w:szCs w:val="3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34"/>
          <w:szCs w:val="34"/>
          <w:lang w:val="en-US"/>
          <w14:textFill>
            <w14:solidFill>
              <w14:schemeClr w14:val="tx1"/>
            </w14:solidFill>
          </w14:textFill>
        </w:rPr>
        <w:t>REGISTRATION NUMBER : 192462005</w:t>
      </w:r>
    </w:p>
    <w:p w14:paraId="7BDEDF9C">
      <w:pPr>
        <w:spacing w:after="200"/>
        <w:rPr>
          <w:rFonts w:hint="default" w:ascii="Times New Roman" w:hAnsi="Times New Roman" w:cs="Times New Roman"/>
          <w:i w:val="0"/>
          <w:iCs w:val="0"/>
        </w:rPr>
      </w:pPr>
    </w:p>
    <w:p w14:paraId="03FEFB16">
      <w:pPr>
        <w:spacing w:after="100"/>
        <w:jc w:val="center"/>
        <w:rPr>
          <w:rFonts w:hint="default" w:ascii="Times New Roman" w:hAnsi="Times New Roman" w:cs="Times New Roman"/>
          <w:i w:val="0"/>
          <w:iCs w:val="0"/>
          <w:color w:val="444444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color w:val="444444"/>
          <w:sz w:val="22"/>
          <w:szCs w:val="22"/>
        </w:rPr>
        <w:t>CO2: Apply suitable Data Pre-processing techniques — Data Cleaning, Data Integration, Data Transformation and Data Reduction — for effective data preparation</w:t>
      </w:r>
    </w:p>
    <w:p w14:paraId="52DD7135">
      <w:pPr>
        <w:spacing w:after="100"/>
        <w:jc w:val="center"/>
        <w:rPr>
          <w:rFonts w:hint="default" w:ascii="Times New Roman" w:hAnsi="Times New Roman" w:cs="Times New Roman"/>
          <w:i w:val="0"/>
          <w:iCs w:val="0"/>
          <w:color w:val="444444"/>
          <w:sz w:val="22"/>
          <w:szCs w:val="22"/>
        </w:rPr>
      </w:pPr>
    </w:p>
    <w:p w14:paraId="1C571251">
      <w:pPr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(BL3, BL4)</w:t>
      </w:r>
    </w:p>
    <w:p w14:paraId="73EA48D7">
      <w:pPr>
        <w:spacing w:after="500"/>
        <w:rPr>
          <w:rFonts w:hint="default" w:ascii="Times New Roman" w:hAnsi="Times New Roman" w:cs="Times New Roman"/>
          <w:i w:val="0"/>
          <w:iCs w:val="0"/>
        </w:rPr>
      </w:pPr>
    </w:p>
    <w:p w14:paraId="5F6C1457">
      <w:pPr>
        <w:jc w:val="both"/>
        <w:rPr>
          <w:rFonts w:hint="default" w:ascii="Times New Roman" w:hAnsi="Times New Roman" w:cs="Times New Roman"/>
          <w:i w:val="0"/>
          <w:iCs w:val="0"/>
        </w:rPr>
      </w:pPr>
    </w:p>
    <w:p w14:paraId="0F1510ED">
      <w:pPr>
        <w:spacing w:after="700"/>
        <w:rPr>
          <w:rFonts w:hint="default" w:ascii="Times New Roman" w:hAnsi="Times New Roman" w:cs="Times New Roman"/>
          <w:i w:val="0"/>
          <w:iCs w:val="0"/>
        </w:rPr>
      </w:pPr>
    </w:p>
    <w:p w14:paraId="5DCC5C27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54A62BEB">
      <w:pPr>
        <w:pStyle w:val="2"/>
        <w:spacing w:before="300" w:after="160"/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30"/>
          <w:szCs w:val="30"/>
        </w:rPr>
        <w:t>Q1. Data Mining, Basic Tasks &amp; the KDD Process</w:t>
      </w:r>
    </w:p>
    <w:p w14:paraId="18640813">
      <w:pPr>
        <w:rPr>
          <w:rFonts w:hint="default"/>
        </w:rPr>
      </w:pPr>
    </w:p>
    <w:p w14:paraId="5EECE37F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Definition of Data Mining</w:t>
      </w:r>
    </w:p>
    <w:p w14:paraId="67190D89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Data Mining is the process of discovering interesting, previously unknown, and potentially useful patterns, correlations, and trends from large volumes of data using statistical, mathematical, and artificial-intelligence techniques. It is the core analytical step within the broader Knowledge Discovery in Databases (KDD) process.</w:t>
      </w:r>
    </w:p>
    <w:p w14:paraId="5BF0CBE7">
      <w:pPr>
        <w:spacing w:before="200" w:after="100"/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</w:pPr>
    </w:p>
    <w:p w14:paraId="1D853402">
      <w:pPr>
        <w:spacing w:before="200" w:after="100"/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Two Basic Data Mining Tasks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50"/>
      </w:tblGrid>
      <w:tr w14:paraId="0F957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24B5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6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63E5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Description</w:t>
            </w:r>
          </w:p>
        </w:tc>
      </w:tr>
      <w:tr w14:paraId="2BD71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F4F9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Classification</w:t>
            </w:r>
          </w:p>
        </w:tc>
        <w:tc>
          <w:tcPr>
            <w:tcW w:w="6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91A6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Assigns data items into predefined categories/classes (e.g., classifying an email as spam or not-spam).</w:t>
            </w:r>
          </w:p>
        </w:tc>
      </w:tr>
      <w:tr w14:paraId="19259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6F48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Clustering</w:t>
            </w:r>
          </w:p>
        </w:tc>
        <w:tc>
          <w:tcPr>
            <w:tcW w:w="6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F6A1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Groups similar data items together into clusters without predefined labels (e.g., segmenting customers by purchase behaviour).</w:t>
            </w:r>
          </w:p>
        </w:tc>
      </w:tr>
    </w:tbl>
    <w:p w14:paraId="368D8465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0"/>
          <w:szCs w:val="20"/>
        </w:rPr>
        <w:t>(Other common tasks: Association Rule Mining, Regression/Prediction, Outlier/Anomaly Detection.)</w:t>
      </w:r>
    </w:p>
    <w:p w14:paraId="561D1BB7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Steps in the KDD Process</w:t>
      </w:r>
    </w:p>
    <w:p w14:paraId="2718A088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Data Cleaning — removes noise, missing values, and inconsistent data.</w:t>
      </w:r>
    </w:p>
    <w:p w14:paraId="23997D6B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Data Integration — combines data from multiple heterogeneous sources.</w:t>
      </w:r>
    </w:p>
    <w:p w14:paraId="785919D9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Data Selection — retrieves only the data relevant to the analysis task.</w:t>
      </w:r>
    </w:p>
    <w:p w14:paraId="4986A616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Data Transformation — converts data into forms appropriate for mining (normalization, aggregation).</w:t>
      </w:r>
    </w:p>
    <w:p w14:paraId="558E2BBC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Data Mining — applies algorithms to extract patterns (classification, clustering, association, etc.).</w:t>
      </w:r>
    </w:p>
    <w:p w14:paraId="410BCB41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Pattern Evaluation — identifies the truly interesting/valid patterns based on interestingness measures.</w:t>
      </w:r>
    </w:p>
    <w:p w14:paraId="205704B8">
      <w:pPr>
        <w:pStyle w:val="16"/>
        <w:numPr>
          <w:ilvl w:val="0"/>
          <w:numId w:val="1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Knowledge Presentation — visualizes and presents the mined knowledge to the user (reports, dashboards, graphs).</w:t>
      </w:r>
    </w:p>
    <w:p w14:paraId="1FF52431">
      <w:pPr>
        <w:pStyle w:val="16"/>
        <w:numPr>
          <w:numId w:val="0"/>
        </w:numPr>
        <w:spacing w:after="60"/>
        <w:ind w:left="100" w:leftChars="0"/>
        <w:rPr>
          <w:rFonts w:hint="default" w:ascii="Times New Roman" w:hAnsi="Times New Roman" w:cs="Times New Roman"/>
          <w:i w:val="0"/>
          <w:iCs w:val="0"/>
          <w:sz w:val="22"/>
          <w:szCs w:val="22"/>
        </w:rPr>
      </w:pPr>
    </w:p>
    <w:p w14:paraId="5FC492CA">
      <w:pPr>
        <w:pStyle w:val="16"/>
        <w:numPr>
          <w:numId w:val="0"/>
        </w:numPr>
        <w:spacing w:after="60"/>
        <w:ind w:left="100" w:leftChars="0"/>
        <w:rPr>
          <w:rFonts w:hint="default" w:ascii="Times New Roman" w:hAnsi="Times New Roman" w:cs="Times New Roman"/>
          <w:i w:val="0"/>
          <w:iCs w:val="0"/>
          <w:sz w:val="22"/>
          <w:szCs w:val="22"/>
        </w:rPr>
      </w:pPr>
    </w:p>
    <w:tbl>
      <w:tblPr>
        <w:tblStyle w:val="9"/>
        <w:tblW w:w="5000" w:type="pct"/>
        <w:tblInd w:w="0" w:type="dxa"/>
        <w:tblBorders>
          <w:top w:val="single" w:color="0F6E6E" w:sz="4" w:space="0"/>
          <w:left w:val="single" w:color="0F6E6E" w:sz="4" w:space="0"/>
          <w:bottom w:val="single" w:color="0F6E6E" w:sz="4" w:space="0"/>
          <w:right w:val="single" w:color="0F6E6E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80"/>
      </w:tblGrid>
      <w:tr w14:paraId="45B08E1C">
        <w:tblPrEx>
          <w:tblBorders>
            <w:top w:val="single" w:color="0F6E6E" w:sz="4" w:space="0"/>
            <w:left w:val="single" w:color="0F6E6E" w:sz="4" w:space="0"/>
            <w:bottom w:val="single" w:color="0F6E6E" w:sz="4" w:space="0"/>
            <w:right w:val="single" w:color="0F6E6E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7F5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1314EC">
            <w:pPr>
              <w:spacing w:after="6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F6E6E"/>
                <w:sz w:val="22"/>
                <w:szCs w:val="22"/>
              </w:rPr>
              <w:t>Role of Data Preprocessing — Justification</w:t>
            </w:r>
          </w:p>
          <w:p w14:paraId="083DDB10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Real-world data is typically incomplete (missing values), noisy (errors/outliers), and inconsistent (conflicting formats/duplicates).</w:t>
            </w:r>
          </w:p>
          <w:p w14:paraId="459C3B03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Preprocessing (cleaning, integration, transformation, reduction) improves data quality before mining, which directly improves the accuracy, efficiency, and reliability of the patterns discovered.</w:t>
            </w:r>
          </w:p>
          <w:p w14:paraId="2471F4F1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Without preprocessing, mining algorithms may produce misleading or invalid patterns — it is therefore considered the most time-consuming yet most critical stage of the KDD process (often 60–80% of total effort).</w:t>
            </w:r>
          </w:p>
        </w:tc>
      </w:tr>
    </w:tbl>
    <w:p w14:paraId="745D0F69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2C0D4219">
      <w:pPr>
        <w:pStyle w:val="2"/>
        <w:spacing w:before="300" w:after="160"/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30"/>
          <w:szCs w:val="30"/>
        </w:rPr>
        <w:t>Q2. Data Cleaning — Quality Issues, Missing Values &amp; Noise</w:t>
      </w:r>
    </w:p>
    <w:p w14:paraId="5F00AEBC">
      <w:pPr>
        <w:rPr>
          <w:rFonts w:hint="default"/>
        </w:rPr>
      </w:pPr>
    </w:p>
    <w:p w14:paraId="72CADD62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What is Data Cleaning?</w:t>
      </w:r>
    </w:p>
    <w:p w14:paraId="3C0B1F0D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Data cleaning is the process of detecting and correcting (or removing) inaccurate, incomplete, noisy, or inconsistent data from a dataset, so that it becomes suitable and reliable for analysis and mining.</w:t>
      </w:r>
    </w:p>
    <w:p w14:paraId="10666ACE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Two Common Data Quality Issues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50"/>
      </w:tblGrid>
      <w:tr w14:paraId="6100A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F8C8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6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0C90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Description</w:t>
            </w:r>
          </w:p>
        </w:tc>
      </w:tr>
      <w:tr w14:paraId="136AF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C2E6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Missing Values</w:t>
            </w:r>
          </w:p>
        </w:tc>
        <w:tc>
          <w:tcPr>
            <w:tcW w:w="6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E78E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Attribute values that are absent for some records (e.g., a customer's income field left blank).</w:t>
            </w:r>
          </w:p>
        </w:tc>
      </w:tr>
      <w:tr w14:paraId="78A64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D210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Noisy Data</w:t>
            </w:r>
          </w:p>
        </w:tc>
        <w:tc>
          <w:tcPr>
            <w:tcW w:w="6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668C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Random errors or variance in a measured value (e.g., a recorded age of 250 years due to a typing error).</w:t>
            </w:r>
          </w:p>
        </w:tc>
      </w:tr>
    </w:tbl>
    <w:p w14:paraId="469CDFC9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0"/>
          <w:szCs w:val="20"/>
        </w:rPr>
        <w:t>(Other quality issues include duplicate records and inconsistent formatting.)</w:t>
      </w:r>
    </w:p>
    <w:p w14:paraId="45C33D55">
      <w:pPr>
        <w:spacing w:before="200" w:after="100"/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</w:pPr>
    </w:p>
    <w:p w14:paraId="2C5CA2A7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Handling Missing Values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50"/>
      </w:tblGrid>
      <w:tr w14:paraId="0D1E8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320C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BB00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Example</w:t>
            </w:r>
          </w:p>
        </w:tc>
      </w:tr>
      <w:tr w14:paraId="58483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B8E7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Ignore the tuple</w:t>
            </w:r>
          </w:p>
        </w:tc>
        <w:tc>
          <w:tcPr>
            <w:tcW w:w="6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5394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Discard a customer record entirely if the Income field is missing — used only when many attributes are missing for that record.</w:t>
            </w:r>
          </w:p>
        </w:tc>
      </w:tr>
      <w:tr w14:paraId="66784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AA53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Fill manually</w:t>
            </w:r>
          </w:p>
        </w:tc>
        <w:tc>
          <w:tcPr>
            <w:tcW w:w="6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8FA8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A domain expert enters the correct Income value after checking other records.</w:t>
            </w:r>
          </w:p>
        </w:tc>
      </w:tr>
      <w:tr w14:paraId="5233C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5C50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Fill with a global constant</w:t>
            </w:r>
          </w:p>
        </w:tc>
        <w:tc>
          <w:tcPr>
            <w:tcW w:w="6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1CF3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Replace all missing Income values with 'Unknown' or 0.</w:t>
            </w:r>
          </w:p>
        </w:tc>
      </w:tr>
      <w:tr w14:paraId="4CC0D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B0EC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Fill with attribute mean/median/mode</w:t>
            </w:r>
          </w:p>
        </w:tc>
        <w:tc>
          <w:tcPr>
            <w:tcW w:w="6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F026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Replace a missing Age with the median age of all customers, e.g., 36.</w:t>
            </w:r>
          </w:p>
        </w:tc>
      </w:tr>
      <w:tr w14:paraId="159DD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9708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Fill using the most probable value</w:t>
            </w:r>
          </w:p>
        </w:tc>
        <w:tc>
          <w:tcPr>
            <w:tcW w:w="6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EE14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Use regression or k-NN to predict the missing Income from Age, Occupation, etc.</w:t>
            </w:r>
          </w:p>
        </w:tc>
      </w:tr>
    </w:tbl>
    <w:p w14:paraId="2E5FDD1D">
      <w:pPr>
        <w:spacing w:before="200" w:after="100"/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</w:pPr>
    </w:p>
    <w:p w14:paraId="5AD91400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Handling Noisy Data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50"/>
      </w:tblGrid>
      <w:tr w14:paraId="68E0F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24CB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6832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Example</w:t>
            </w:r>
          </w:p>
        </w:tc>
      </w:tr>
      <w:tr w14:paraId="2F26E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0722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Binning</w:t>
            </w:r>
          </w:p>
        </w:tc>
        <w:tc>
          <w:tcPr>
            <w:tcW w:w="6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36F9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Sort Age values into bins and smooth by bin mean/median/boundaries to remove small variations.</w:t>
            </w:r>
          </w:p>
        </w:tc>
      </w:tr>
      <w:tr w14:paraId="1A807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713C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Regression</w:t>
            </w:r>
          </w:p>
        </w:tc>
        <w:tc>
          <w:tcPr>
            <w:tcW w:w="6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514F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Fit a regression line/surface to Salary vs Experience data; smooth values that deviate from the fitted line.</w:t>
            </w:r>
          </w:p>
        </w:tc>
      </w:tr>
      <w:tr w14:paraId="54A1E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51C5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Clustering</w:t>
            </w:r>
          </w:p>
        </w:tc>
        <w:tc>
          <w:tcPr>
            <w:tcW w:w="6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DDCD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Group similar Purchase_Amount values into clusters; values that fall outside any cluster are flagged as outliers/noise.</w:t>
            </w:r>
          </w:p>
        </w:tc>
      </w:tr>
      <w:tr w14:paraId="04BD6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70B5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Human inspection + computer detection</w:t>
            </w:r>
          </w:p>
        </w:tc>
        <w:tc>
          <w:tcPr>
            <w:tcW w:w="6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2044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Combine automated outlier flags (e.g., Age = 250) with manual verification before correction.</w:t>
            </w:r>
          </w:p>
        </w:tc>
      </w:tr>
    </w:tbl>
    <w:p w14:paraId="74E28996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2F0D43A0">
      <w:pPr>
        <w:pStyle w:val="2"/>
        <w:spacing w:before="300" w:after="1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30"/>
          <w:szCs w:val="30"/>
        </w:rPr>
        <w:t>Q3. Data Integration — Challenges, Redundancy &amp; Inconsistency</w:t>
      </w:r>
    </w:p>
    <w:p w14:paraId="70BE3A95">
      <w:pPr>
        <w:spacing w:before="200" w:after="100"/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</w:pPr>
    </w:p>
    <w:p w14:paraId="74C4F8E7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Definition of Data Integration</w:t>
      </w:r>
    </w:p>
    <w:p w14:paraId="064AC77D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Data integration is the process of combining data from multiple, often heterogeneous, sources (databases, data warehouses, flat files, web data) into a single, unified, and consistent view for analysis.</w:t>
      </w:r>
    </w:p>
    <w:p w14:paraId="7C769448">
      <w:pPr>
        <w:spacing w:before="200" w:after="100"/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</w:pPr>
    </w:p>
    <w:p w14:paraId="6033F0ED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Two Challenges in Data Integration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50"/>
      </w:tblGrid>
      <w:tr w14:paraId="07189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367F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6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635F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Description</w:t>
            </w:r>
          </w:p>
        </w:tc>
      </w:tr>
      <w:tr w14:paraId="4B285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A372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Entity Identification Problem</w:t>
            </w:r>
          </w:p>
        </w:tc>
        <w:tc>
          <w:tcPr>
            <w:tcW w:w="6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2840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Matching equivalent real-world entities across sources when they are named differently — e.g., 'Cust_ID' in one database vs 'Customer_Number' in another referring to the same customer.</w:t>
            </w:r>
          </w:p>
        </w:tc>
      </w:tr>
      <w:tr w14:paraId="4EE5C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E575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Redundancy &amp; Correlation</w:t>
            </w:r>
          </w:p>
        </w:tc>
        <w:tc>
          <w:tcPr>
            <w:tcW w:w="6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E92C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The same attribute (or a derived one) may appear in multiple sources under different names, inflating the dataset and biasing analysis — e.g., 'Annual_Revenue' in one source is derivable from 'Monthly_Revenue' in another.</w:t>
            </w:r>
          </w:p>
        </w:tc>
      </w:tr>
    </w:tbl>
    <w:p w14:paraId="555A75A4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0"/>
          <w:szCs w:val="20"/>
        </w:rPr>
        <w:t>(Other challenges: data value conflicts due to differing scales/units/representations, and schema integration/structural conflicts.)</w:t>
      </w:r>
    </w:p>
    <w:p w14:paraId="70796665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Handling Redundancy</w:t>
      </w:r>
    </w:p>
    <w:p w14:paraId="0BBFFCF2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Redundant attributes are detected using correlation analysis:</w:t>
      </w:r>
    </w:p>
    <w:p w14:paraId="6A7BCDE7">
      <w:pPr>
        <w:pStyle w:val="16"/>
        <w:numPr>
          <w:ilvl w:val="0"/>
          <w:numId w:val="2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Numeric attributes: Pearson's correlation coefficient / covariance — a high positive or negative correlation flags redundancy, and one of the two attributes can be dropped.</w:t>
      </w:r>
    </w:p>
    <w:p w14:paraId="6880DE44">
      <w:pPr>
        <w:pStyle w:val="16"/>
        <w:numPr>
          <w:ilvl w:val="0"/>
          <w:numId w:val="2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Categorical attributes: Chi-square (χ²) test — a strong statistical dependency between two categorical attributes indicates redundancy.</w:t>
      </w:r>
    </w:p>
    <w:p w14:paraId="63FB0C79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Handling Inconsistency</w:t>
      </w:r>
    </w:p>
    <w:p w14:paraId="79B5999F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Inconsistent data (conflicting values, formats or units for the same real-world entity) is resolved by:</w:t>
      </w:r>
    </w:p>
    <w:p w14:paraId="1C212D50">
      <w:pPr>
        <w:pStyle w:val="16"/>
        <w:numPr>
          <w:ilvl w:val="0"/>
          <w:numId w:val="2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Standardizing formats and units across all sources (e.g., converting all dates to YYYY-MM-DD, all currencies to ₹).</w:t>
      </w:r>
    </w:p>
    <w:p w14:paraId="37059AF9">
      <w:pPr>
        <w:pStyle w:val="16"/>
        <w:numPr>
          <w:ilvl w:val="0"/>
          <w:numId w:val="2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Using metadata (data dictionaries) to understand each source's structure, meaning, and constraints before merging.</w:t>
      </w:r>
    </w:p>
    <w:p w14:paraId="33675A5E">
      <w:pPr>
        <w:pStyle w:val="16"/>
        <w:numPr>
          <w:ilvl w:val="0"/>
          <w:numId w:val="2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Applying conflict-resolution rules (e.g., 'most recent value wins', or preferring the more trustworthy/authoritative source) when the same attribute has different values across sources.</w:t>
      </w:r>
    </w:p>
    <w:p w14:paraId="1616B269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23DDB595">
      <w:pPr>
        <w:pStyle w:val="2"/>
        <w:spacing w:before="300" w:after="1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30"/>
          <w:szCs w:val="30"/>
        </w:rPr>
        <w:t>Q4. Covariance Analysis — Concept &amp; Formulas</w:t>
      </w:r>
    </w:p>
    <w:p w14:paraId="1570AEA7">
      <w:pPr>
        <w:spacing w:before="200" w:after="100"/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</w:pPr>
    </w:p>
    <w:p w14:paraId="78E9462A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What is Covariance Analysis?</w:t>
      </w:r>
    </w:p>
    <w:p w14:paraId="383C26FE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Covariance analysis is a statistical technique used in data integration/preprocessing to measure how two numeric attributes vary together — i.e., whether they change in the same direction (positive covariance), in opposite directions (negative covariance), or show no linear relationship (covariance ≈ 0). It is commonly used to detect redundant attributes before mining.</w:t>
      </w:r>
    </w:p>
    <w:p w14:paraId="66058809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Two Covariance Formulas</w:t>
      </w:r>
    </w:p>
    <w:p w14:paraId="0798C4F9">
      <w:pPr>
        <w:shd w:val="clear" w:fill="F2F2F2"/>
        <w:spacing w:before="100" w:after="10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mbria Math" w:cs="Times New Roman"/>
          <w:i w:val="0"/>
          <w:iCs w:val="0"/>
          <w:sz w:val="22"/>
          <w:szCs w:val="22"/>
        </w:rPr>
        <w:t>Population Covariance:   Cov(X, Y) = Σ (Xᵢ − X̄)(Yᵢ − Ȳ) / n</w:t>
      </w:r>
    </w:p>
    <w:p w14:paraId="189ACD0A">
      <w:pPr>
        <w:shd w:val="clear" w:fill="F2F2F2"/>
        <w:spacing w:before="100" w:after="10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mbria Math" w:cs="Times New Roman"/>
          <w:i w:val="0"/>
          <w:iCs w:val="0"/>
          <w:sz w:val="22"/>
          <w:szCs w:val="22"/>
        </w:rPr>
        <w:t>Sample Covariance:   Cov(X, Y) = Σ (Xᵢ − X̄)(Yᵢ − Ȳ) / (n − 1)</w:t>
      </w:r>
    </w:p>
    <w:p w14:paraId="06AB189E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An equivalent computational (shortcut) form used in practice:</w:t>
      </w:r>
    </w:p>
    <w:p w14:paraId="5166772F">
      <w:pPr>
        <w:shd w:val="clear" w:fill="F2F2F2"/>
        <w:spacing w:before="100" w:after="10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mbria Math" w:cs="Times New Roman"/>
          <w:i w:val="0"/>
          <w:iCs w:val="0"/>
          <w:sz w:val="22"/>
          <w:szCs w:val="22"/>
        </w:rPr>
        <w:t>Cov(X, Y) = E(X·Y) − E(X)·E(Y)</w:t>
      </w:r>
    </w:p>
    <w:tbl>
      <w:tblPr>
        <w:tblStyle w:val="9"/>
        <w:tblW w:w="5000" w:type="pct"/>
        <w:tblInd w:w="0" w:type="dxa"/>
        <w:tblBorders>
          <w:top w:val="single" w:color="0F6E6E" w:sz="4" w:space="0"/>
          <w:left w:val="single" w:color="0F6E6E" w:sz="4" w:space="0"/>
          <w:bottom w:val="single" w:color="0F6E6E" w:sz="4" w:space="0"/>
          <w:right w:val="single" w:color="0F6E6E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80"/>
      </w:tblGrid>
      <w:tr w14:paraId="13F10D72">
        <w:tblPrEx>
          <w:tblBorders>
            <w:top w:val="single" w:color="0F6E6E" w:sz="4" w:space="0"/>
            <w:left w:val="single" w:color="0F6E6E" w:sz="4" w:space="0"/>
            <w:bottom w:val="single" w:color="0F6E6E" w:sz="4" w:space="0"/>
            <w:right w:val="single" w:color="0F6E6E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7F5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D81F2C">
            <w:pPr>
              <w:spacing w:after="6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F6E6E"/>
                <w:sz w:val="22"/>
                <w:szCs w:val="22"/>
              </w:rPr>
              <w:t>Interpreting the Result</w:t>
            </w:r>
          </w:p>
          <w:p w14:paraId="31E57576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Cov(X,Y) &gt; 0  →  X and Y tend to increase/decrease together (positively related).</w:t>
            </w:r>
          </w:p>
          <w:p w14:paraId="4E37F0D1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Cov(X,Y) &lt; 0  →  X and Y tend to move in opposite directions (negatively related).</w:t>
            </w:r>
          </w:p>
          <w:p w14:paraId="65CCE62A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Cov(X,Y) ≈ 0  →  X and Y show little to no linear relationship (independent-like behaviour).</w:t>
            </w:r>
          </w:p>
        </w:tc>
      </w:tr>
    </w:tbl>
    <w:p w14:paraId="2B3B8F48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451CC30B">
      <w:pPr>
        <w:pStyle w:val="2"/>
        <w:spacing w:before="300" w:after="1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30"/>
          <w:szCs w:val="30"/>
        </w:rPr>
        <w:t>Q5. Covariance of Two Stocks (A, B)</w:t>
      </w:r>
    </w:p>
    <w:p w14:paraId="43499CCE">
      <w:pPr>
        <w:spacing w:after="120" w:line="300" w:lineRule="auto"/>
        <w:rPr>
          <w:rFonts w:hint="default" w:ascii="Times New Roman" w:hAnsi="Times New Roman" w:cs="Times New Roman"/>
          <w:i w:val="0"/>
          <w:iCs w:val="0"/>
          <w:sz w:val="22"/>
          <w:szCs w:val="22"/>
        </w:rPr>
      </w:pPr>
    </w:p>
    <w:p w14:paraId="184BEEB0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Weekly values given as pairs (Stock A, Stock B): (2, 5), (3, 8), (5, 10), (4, 11), (6, 14).</w:t>
      </w:r>
    </w:p>
    <w:p w14:paraId="1055DD79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Step 1 — Compute the Means</w:t>
      </w:r>
    </w:p>
    <w:p w14:paraId="66CD196D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X̄ (Stock A) = (2+3+5+4+6)/5 = 20/5 = 4</w:t>
      </w:r>
    </w:p>
    <w:p w14:paraId="7ACCDBFC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Ȳ (Stock B) = (5+8+10+11+14)/5 = 48/5 = 9.6</w:t>
      </w:r>
    </w:p>
    <w:p w14:paraId="119EADEB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Step 2 — Deviations &amp; Products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0"/>
        <w:gridCol w:w="1350"/>
        <w:gridCol w:w="1350"/>
        <w:gridCol w:w="1800"/>
        <w:gridCol w:w="1800"/>
        <w:gridCol w:w="1800"/>
      </w:tblGrid>
      <w:tr w14:paraId="772C7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5107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1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E469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A</w:t>
            </w:r>
          </w:p>
        </w:tc>
        <w:tc>
          <w:tcPr>
            <w:tcW w:w="1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FE4A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B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B6EB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A − X̄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885F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B − Ȳ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C311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Product</w:t>
            </w:r>
          </w:p>
        </w:tc>
      </w:tr>
      <w:tr w14:paraId="03FF2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0A0D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</w:t>
            </w:r>
          </w:p>
        </w:tc>
        <w:tc>
          <w:tcPr>
            <w:tcW w:w="1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3168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</w:t>
            </w:r>
          </w:p>
        </w:tc>
        <w:tc>
          <w:tcPr>
            <w:tcW w:w="1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C411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5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B03D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−2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05F9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−4.6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8930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9.2</w:t>
            </w:r>
          </w:p>
        </w:tc>
      </w:tr>
      <w:tr w14:paraId="41536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F194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</w:t>
            </w:r>
          </w:p>
        </w:tc>
        <w:tc>
          <w:tcPr>
            <w:tcW w:w="1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B783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</w:t>
            </w:r>
          </w:p>
        </w:tc>
        <w:tc>
          <w:tcPr>
            <w:tcW w:w="1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78B1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8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2E3C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−1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5ED6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−1.6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B2F1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1.6</w:t>
            </w:r>
          </w:p>
        </w:tc>
      </w:tr>
      <w:tr w14:paraId="7D0B5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27A3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</w:t>
            </w:r>
          </w:p>
        </w:tc>
        <w:tc>
          <w:tcPr>
            <w:tcW w:w="1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B3EA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5</w:t>
            </w:r>
          </w:p>
        </w:tc>
        <w:tc>
          <w:tcPr>
            <w:tcW w:w="1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8240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8FB7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6A38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0.4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F875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0.4</w:t>
            </w:r>
          </w:p>
        </w:tc>
      </w:tr>
      <w:tr w14:paraId="3AC04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6480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</w:t>
            </w:r>
          </w:p>
        </w:tc>
        <w:tc>
          <w:tcPr>
            <w:tcW w:w="1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2240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</w:t>
            </w:r>
          </w:p>
        </w:tc>
        <w:tc>
          <w:tcPr>
            <w:tcW w:w="1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1F55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11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709E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0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95FD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1.4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2B83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0.0</w:t>
            </w:r>
          </w:p>
        </w:tc>
      </w:tr>
      <w:tr w14:paraId="5CD2A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7C97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5</w:t>
            </w:r>
          </w:p>
        </w:tc>
        <w:tc>
          <w:tcPr>
            <w:tcW w:w="1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C422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6</w:t>
            </w:r>
          </w:p>
        </w:tc>
        <w:tc>
          <w:tcPr>
            <w:tcW w:w="1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F606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14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2985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A675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4.4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63C1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8.8</w:t>
            </w:r>
          </w:p>
        </w:tc>
      </w:tr>
    </w:tbl>
    <w:p w14:paraId="2B924763">
      <w:pPr>
        <w:spacing w:after="120"/>
        <w:rPr>
          <w:rFonts w:hint="default" w:ascii="Times New Roman" w:hAnsi="Times New Roman" w:cs="Times New Roman"/>
          <w:i w:val="0"/>
          <w:iCs w:val="0"/>
        </w:rPr>
      </w:pPr>
    </w:p>
    <w:p w14:paraId="2AFB55FD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Σ(Product) = 9.2 + 1.6 + 0.4 + 0.0 + 8.8 = 20</w:t>
      </w:r>
    </w:p>
    <w:p w14:paraId="69A8D2B4">
      <w:pPr>
        <w:shd w:val="clear" w:fill="F2F2F2"/>
        <w:spacing w:before="100" w:after="100"/>
        <w:jc w:val="center"/>
        <w:rPr>
          <w:rFonts w:hint="default" w:ascii="Times New Roman" w:hAnsi="Times New Roman" w:eastAsia="Cambria Math" w:cs="Times New Roman"/>
          <w:i w:val="0"/>
          <w:iCs w:val="0"/>
          <w:sz w:val="22"/>
          <w:szCs w:val="22"/>
        </w:rPr>
      </w:pPr>
      <w:r>
        <w:rPr>
          <w:rFonts w:hint="default" w:ascii="Times New Roman" w:hAnsi="Times New Roman" w:eastAsia="Cambria Math" w:cs="Times New Roman"/>
          <w:i w:val="0"/>
          <w:iCs w:val="0"/>
          <w:sz w:val="22"/>
          <w:szCs w:val="22"/>
        </w:rPr>
        <w:t>Cov(A, B) = 20 / 5 = 4  (population)     |     20 / 4 = 5  (sample)</w:t>
      </w:r>
    </w:p>
    <w:tbl>
      <w:tblPr>
        <w:tblStyle w:val="9"/>
        <w:tblW w:w="5000" w:type="pct"/>
        <w:tblInd w:w="0" w:type="dxa"/>
        <w:tblBorders>
          <w:top w:val="single" w:color="B8860B" w:sz="4" w:space="0"/>
          <w:left w:val="single" w:color="B8860B" w:sz="4" w:space="0"/>
          <w:bottom w:val="single" w:color="B8860B" w:sz="4" w:space="0"/>
          <w:right w:val="single" w:color="B8860B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80"/>
      </w:tblGrid>
      <w:tr w14:paraId="36308331">
        <w:tblPrEx>
          <w:tblBorders>
            <w:top w:val="single" w:color="B8860B" w:sz="4" w:space="0"/>
            <w:left w:val="single" w:color="B8860B" w:sz="4" w:space="0"/>
            <w:bottom w:val="single" w:color="B8860B" w:sz="4" w:space="0"/>
            <w:right w:val="single" w:color="B8860B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BF3D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556808">
            <w:pPr>
              <w:spacing w:after="6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B8860B"/>
                <w:sz w:val="22"/>
                <w:szCs w:val="22"/>
              </w:rPr>
              <w:t>Answer</w:t>
            </w:r>
          </w:p>
          <w:p w14:paraId="68D35D2E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The covariance between Stock A and Stock B is strongly positive (+4).</w:t>
            </w:r>
          </w:p>
          <w:p w14:paraId="5DA5EF9B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This means the two stock prices rise and fall together, not independently — consistent with both stocks being driven by the same underlying industry trend.</w:t>
            </w:r>
          </w:p>
          <w:p w14:paraId="18C878C1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If the covariance had come out near zero, that would instead suggest the stocks move independently of each other.</w:t>
            </w:r>
          </w:p>
        </w:tc>
      </w:tr>
    </w:tbl>
    <w:p w14:paraId="1A726460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1EAC9E2A">
      <w:pPr>
        <w:pStyle w:val="2"/>
        <w:spacing w:before="300" w:after="160"/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30"/>
          <w:szCs w:val="30"/>
        </w:rPr>
        <w:t>Q6. Architecture of a Data Mining System</w:t>
      </w:r>
    </w:p>
    <w:p w14:paraId="2250C0A0">
      <w:pPr>
        <w:rPr>
          <w:rFonts w:hint="default"/>
        </w:rPr>
      </w:pPr>
    </w:p>
    <w:p w14:paraId="684ED96E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A typical data mining system consists of the following interacting components, shown top-to-bottom from raw data sources to the end user:</w:t>
      </w:r>
    </w:p>
    <w:p w14:paraId="5A979AF8">
      <w:pPr>
        <w:spacing w:after="150"/>
        <w:rPr>
          <w:rFonts w:hint="default" w:ascii="Times New Roman" w:hAnsi="Times New Roman" w:cs="Times New Roman"/>
          <w:i w:val="0"/>
          <w:iCs w:val="0"/>
        </w:rPr>
      </w:pPr>
    </w:p>
    <w:tbl>
      <w:tblPr>
        <w:tblStyle w:val="9"/>
        <w:tblW w:w="9350" w:type="dxa"/>
        <w:jc w:val="center"/>
        <w:tblBorders>
          <w:top w:val="single" w:color="1F3864" w:sz="8" w:space="0"/>
          <w:left w:val="single" w:color="1F3864" w:sz="8" w:space="0"/>
          <w:bottom w:val="single" w:color="1F3864" w:sz="8" w:space="0"/>
          <w:right w:val="single" w:color="1F3864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5ACE1B1B">
        <w:tblPrEx>
          <w:tblBorders>
            <w:top w:val="single" w:color="1F3864" w:sz="8" w:space="0"/>
            <w:left w:val="single" w:color="1F3864" w:sz="8" w:space="0"/>
            <w:bottom w:val="single" w:color="1F3864" w:sz="8" w:space="0"/>
            <w:right w:val="single" w:color="1F3864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shd w:val="clear" w:color="auto" w:fill="E7F5F4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6E627D2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3864"/>
                <w:sz w:val="21"/>
                <w:szCs w:val="21"/>
              </w:rPr>
              <w:t>USER INTERFACE
(Visualization, Reports, Dashboards)</w:t>
            </w:r>
          </w:p>
        </w:tc>
      </w:tr>
    </w:tbl>
    <w:p w14:paraId="687948CC">
      <w:pPr>
        <w:spacing w:before="40" w:after="4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B8860B"/>
          <w:sz w:val="26"/>
          <w:szCs w:val="26"/>
        </w:rPr>
        <w:t>↑  ↓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10"/>
      </w:tblGrid>
      <w:tr w14:paraId="0A67C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1F3864" w:sz="8" w:space="0"/>
              <w:left w:val="single" w:color="1F3864" w:sz="8" w:space="0"/>
              <w:bottom w:val="single" w:color="1F3864" w:sz="8" w:space="0"/>
              <w:right w:val="single" w:color="1F3864" w:sz="8" w:space="0"/>
            </w:tcBorders>
            <w:shd w:val="clear" w:color="auto" w:fill="F1E8F2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6A955D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3864"/>
                <w:sz w:val="20"/>
                <w:szCs w:val="20"/>
              </w:rPr>
              <w:t>PATTERN
EVALUATION
MODULE</w:t>
            </w:r>
          </w:p>
        </w:tc>
        <w:tc>
          <w:tcPr>
            <w:tcW w:w="3120" w:type="dxa"/>
            <w:tcBorders>
              <w:top w:val="single" w:color="1F3864" w:sz="8" w:space="0"/>
              <w:left w:val="single" w:color="1F3864" w:sz="8" w:space="0"/>
              <w:bottom w:val="single" w:color="1F3864" w:sz="8" w:space="0"/>
              <w:right w:val="single" w:color="1F3864" w:sz="8" w:space="0"/>
            </w:tcBorders>
            <w:shd w:val="clear" w:color="auto" w:fill="E7F5F4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D3BC55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3864"/>
                <w:sz w:val="20"/>
                <w:szCs w:val="20"/>
              </w:rPr>
              <w:t>DATA MINING
ENGINE</w:t>
            </w:r>
          </w:p>
        </w:tc>
        <w:tc>
          <w:tcPr>
            <w:tcW w:w="3110" w:type="dxa"/>
            <w:tcBorders>
              <w:top w:val="single" w:color="1F3864" w:sz="8" w:space="0"/>
              <w:left w:val="single" w:color="1F3864" w:sz="8" w:space="0"/>
              <w:bottom w:val="single" w:color="1F3864" w:sz="8" w:space="0"/>
              <w:right w:val="single" w:color="1F3864" w:sz="8" w:space="0"/>
            </w:tcBorders>
            <w:shd w:val="clear" w:color="auto" w:fill="FBF3DF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0A19B4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3864"/>
                <w:sz w:val="20"/>
                <w:szCs w:val="20"/>
              </w:rPr>
              <w:t>KNOWLEDGE
BASE</w:t>
            </w:r>
          </w:p>
        </w:tc>
      </w:tr>
    </w:tbl>
    <w:p w14:paraId="2D788C67">
      <w:pPr>
        <w:spacing w:before="40" w:after="4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B8860B"/>
          <w:sz w:val="26"/>
          <w:szCs w:val="26"/>
        </w:rPr>
        <w:t>↑  ↓</w:t>
      </w:r>
    </w:p>
    <w:tbl>
      <w:tblPr>
        <w:tblStyle w:val="9"/>
        <w:tblW w:w="9350" w:type="dxa"/>
        <w:jc w:val="center"/>
        <w:tblBorders>
          <w:top w:val="single" w:color="1F3864" w:sz="8" w:space="0"/>
          <w:left w:val="single" w:color="1F3864" w:sz="8" w:space="0"/>
          <w:bottom w:val="single" w:color="1F3864" w:sz="8" w:space="0"/>
          <w:right w:val="single" w:color="1F3864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02D1AD70">
        <w:tblPrEx>
          <w:tblBorders>
            <w:top w:val="single" w:color="1F3864" w:sz="8" w:space="0"/>
            <w:left w:val="single" w:color="1F3864" w:sz="8" w:space="0"/>
            <w:bottom w:val="single" w:color="1F3864" w:sz="8" w:space="0"/>
            <w:right w:val="single" w:color="1F3864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shd w:val="clear" w:color="auto" w:fill="E7F5F4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49E0C72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3864"/>
                <w:sz w:val="21"/>
                <w:szCs w:val="21"/>
              </w:rPr>
              <w:t>DATABASE / DATA WAREHOUSE SERVER</w:t>
            </w:r>
          </w:p>
        </w:tc>
      </w:tr>
    </w:tbl>
    <w:p w14:paraId="7F5353B5">
      <w:pPr>
        <w:spacing w:before="40" w:after="4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B8860B"/>
          <w:sz w:val="26"/>
          <w:szCs w:val="26"/>
        </w:rPr>
        <w:t>↑  ↓</w:t>
      </w:r>
    </w:p>
    <w:tbl>
      <w:tblPr>
        <w:tblStyle w:val="9"/>
        <w:tblW w:w="9350" w:type="dxa"/>
        <w:jc w:val="center"/>
        <w:tblBorders>
          <w:top w:val="single" w:color="1F3864" w:sz="8" w:space="0"/>
          <w:left w:val="single" w:color="1F3864" w:sz="8" w:space="0"/>
          <w:bottom w:val="single" w:color="1F3864" w:sz="8" w:space="0"/>
          <w:right w:val="single" w:color="1F3864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3E202130">
        <w:tblPrEx>
          <w:tblBorders>
            <w:top w:val="single" w:color="1F3864" w:sz="8" w:space="0"/>
            <w:left w:val="single" w:color="1F3864" w:sz="8" w:space="0"/>
            <w:bottom w:val="single" w:color="1F3864" w:sz="8" w:space="0"/>
            <w:right w:val="single" w:color="1F3864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1242581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3864"/>
                <w:sz w:val="21"/>
                <w:szCs w:val="21"/>
              </w:rPr>
              <w:t>DATA SOURCES
(Databases, Data Warehouses, WWW, Other Repositories)</w:t>
            </w:r>
          </w:p>
        </w:tc>
      </w:tr>
    </w:tbl>
    <w:p w14:paraId="34481BFB">
      <w:pPr>
        <w:spacing w:after="200"/>
        <w:rPr>
          <w:rFonts w:hint="default" w:ascii="Times New Roman" w:hAnsi="Times New Roman" w:cs="Times New Roman"/>
          <w:i w:val="0"/>
          <w:iCs w:val="0"/>
        </w:rPr>
      </w:pPr>
    </w:p>
    <w:p w14:paraId="3F34214F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Role of Each Component</w:t>
      </w:r>
    </w:p>
    <w:tbl>
      <w:tblPr>
        <w:tblStyle w:val="9"/>
        <w:tblW w:w="9530" w:type="dxa"/>
        <w:tblInd w:w="-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6650"/>
        <w:gridCol w:w="180"/>
      </w:tblGrid>
      <w:tr w14:paraId="40305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80" w:type="dxa"/>
          <w:tblHeader/>
        </w:trPr>
        <w:tc>
          <w:tcPr>
            <w:tcW w:w="2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3515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A5D0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Role</w:t>
            </w:r>
          </w:p>
        </w:tc>
      </w:tr>
      <w:tr w14:paraId="44929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80" w:type="dxa"/>
        </w:trPr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07D1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Data Sources</w:t>
            </w:r>
          </w:p>
        </w:tc>
        <w:tc>
          <w:tcPr>
            <w:tcW w:w="6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65F6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Raw data origin — operational databases, data warehouses, flat files, the web, and other repositories that feed the system.</w:t>
            </w:r>
          </w:p>
        </w:tc>
      </w:tr>
      <w:tr w14:paraId="65E89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80" w:type="dxa"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02F5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Database/Data Warehouse Server</w:t>
            </w:r>
          </w:p>
        </w:tc>
        <w:tc>
          <w:tcPr>
            <w:tcW w:w="6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57AE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Retrieves the relevant data from the sources as requested by the data mining engine, handling storage and query execution.</w:t>
            </w:r>
          </w:p>
        </w:tc>
      </w:tr>
      <w:tr w14:paraId="378BA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80" w:type="dxa"/>
        </w:trPr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369A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Data Mining Engine</w:t>
            </w:r>
          </w:p>
        </w:tc>
        <w:tc>
          <w:tcPr>
            <w:tcW w:w="6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95F4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The core component; applies mining algorithms (classification, clustering, association rules, etc.) to discover patterns.</w:t>
            </w:r>
          </w:p>
        </w:tc>
      </w:tr>
      <w:tr w14:paraId="2A662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80" w:type="dxa"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16E9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Pattern Evaluation Module</w:t>
            </w:r>
          </w:p>
        </w:tc>
        <w:tc>
          <w:tcPr>
            <w:tcW w:w="6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730A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Measures the interestingness of discovered patterns (support, confidence, novelty) and filters out trivial or redundant ones.</w:t>
            </w:r>
          </w:p>
        </w:tc>
      </w:tr>
      <w:tr w14:paraId="70CF5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80" w:type="dxa"/>
        </w:trPr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8D55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Knowledge Base</w:t>
            </w:r>
          </w:p>
        </w:tc>
        <w:tc>
          <w:tcPr>
            <w:tcW w:w="6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AFBF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Domain knowledge/metadata (concept hierarchies, thresholds, constraints) used to guide the search and evaluate pattern interestingness.</w:t>
            </w:r>
          </w:p>
        </w:tc>
      </w:tr>
      <w:tr w14:paraId="05DC0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80" w:type="dxa"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460F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User Interface</w:t>
            </w:r>
          </w:p>
        </w:tc>
        <w:tc>
          <w:tcPr>
            <w:tcW w:w="6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267B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Allows users to specify mining queries/tasks, and presents the discovered knowledge through visualizations and reports.</w:t>
            </w:r>
          </w:p>
        </w:tc>
      </w:tr>
      <w:tr w14:paraId="7F324A0F">
        <w:tblPrEx>
          <w:tblBorders>
            <w:top w:val="single" w:color="0F6E6E" w:sz="4" w:space="0"/>
            <w:left w:val="single" w:color="0F6E6E" w:sz="4" w:space="0"/>
            <w:bottom w:val="single" w:color="0F6E6E" w:sz="4" w:space="0"/>
            <w:right w:val="single" w:color="0F6E6E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wAfter w:w="0" w:type="auto"/>
        </w:trPr>
        <w:tc>
          <w:tcPr>
            <w:tcW w:w="9530" w:type="dxa"/>
            <w:gridSpan w:val="3"/>
            <w:shd w:val="clear" w:color="auto" w:fill="E7F5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B8C4F2">
            <w:pPr>
              <w:spacing w:after="6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F6E6E"/>
                <w:sz w:val="22"/>
                <w:szCs w:val="22"/>
              </w:rPr>
              <w:t>How the Components Interact</w:t>
            </w:r>
          </w:p>
          <w:p w14:paraId="097B1AF8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The Data Mining Engine pulls cleaned, integrated data from the Database/Data Warehouse Server and consults the Knowledge Base for domain constraints and concept hierarchies while searching for patterns.</w:t>
            </w:r>
          </w:p>
          <w:p w14:paraId="151D9F04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Discovered patterns are passed to the Pattern Evaluation Module, which works closely with the Mining Engine (often interactively) to focus the search only on genuinely interesting patterns.</w:t>
            </w:r>
          </w:p>
          <w:p w14:paraId="1F8B83EE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The Knowledge Base is updated/refined as new interesting patterns are validated, creating a feedback loop.</w:t>
            </w:r>
          </w:p>
          <w:p w14:paraId="17CD5FD7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Finally, validated knowledge is delivered through the User Interface, which also lets the user redirect or refine the mining task — closing the loop back to the Data Mining Engine.</w:t>
            </w:r>
          </w:p>
        </w:tc>
      </w:tr>
    </w:tbl>
    <w:p w14:paraId="69F9C248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5A447303">
      <w:pPr>
        <w:pStyle w:val="2"/>
        <w:spacing w:before="300" w:after="1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30"/>
          <w:szCs w:val="30"/>
        </w:rPr>
        <w:t>Q7. Covariance for Dataset x, y</w:t>
      </w:r>
    </w:p>
    <w:p w14:paraId="42719833">
      <w:pPr>
        <w:spacing w:after="120" w:line="300" w:lineRule="auto"/>
        <w:rPr>
          <w:rFonts w:hint="default" w:ascii="Times New Roman" w:hAnsi="Times New Roman" w:cs="Times New Roman"/>
          <w:i w:val="0"/>
          <w:iCs w:val="0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x = {4, 5, 6, 7, 9}          y = {8, 3, 7, 5, 6}</w:t>
      </w:r>
    </w:p>
    <w:p w14:paraId="1C56D06B">
      <w:pPr>
        <w:spacing w:after="120" w:line="300" w:lineRule="auto"/>
        <w:rPr>
          <w:rFonts w:hint="default" w:ascii="Times New Roman" w:hAnsi="Times New Roman" w:cs="Times New Roman"/>
          <w:i w:val="0"/>
          <w:iCs w:val="0"/>
          <w:sz w:val="22"/>
          <w:szCs w:val="22"/>
        </w:rPr>
      </w:pPr>
    </w:p>
    <w:p w14:paraId="1729B7A7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Step 1 — Compute the Means</w:t>
      </w:r>
    </w:p>
    <w:p w14:paraId="734B60C4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X̄ = (4+5+6+7+9)/5 = 31/5 = 6.2</w:t>
      </w:r>
    </w:p>
    <w:p w14:paraId="2EE2C460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Ȳ = (8+3+7+5+6)/5 = 29/5 = 5.8</w:t>
      </w:r>
    </w:p>
    <w:p w14:paraId="505304E8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Step 2 — Deviations &amp; Products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2"/>
        <w:gridCol w:w="1389"/>
        <w:gridCol w:w="1389"/>
        <w:gridCol w:w="1870"/>
        <w:gridCol w:w="1870"/>
        <w:gridCol w:w="1870"/>
      </w:tblGrid>
      <w:tr w14:paraId="13EFE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2C49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i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EFE5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x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5096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y</w:t>
            </w:r>
          </w:p>
        </w:tc>
        <w:tc>
          <w:tcPr>
            <w:tcW w:w="1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A0C0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x − X̄</w:t>
            </w:r>
          </w:p>
        </w:tc>
        <w:tc>
          <w:tcPr>
            <w:tcW w:w="1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46A6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y − Ȳ</w:t>
            </w:r>
          </w:p>
        </w:tc>
        <w:tc>
          <w:tcPr>
            <w:tcW w:w="1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2BE2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Product</w:t>
            </w:r>
          </w:p>
        </w:tc>
      </w:tr>
      <w:tr w14:paraId="6CB59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8EBB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FD95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CA32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8</w:t>
            </w:r>
          </w:p>
        </w:tc>
        <w:tc>
          <w:tcPr>
            <w:tcW w:w="1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D64B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−2.2</w:t>
            </w:r>
          </w:p>
        </w:tc>
        <w:tc>
          <w:tcPr>
            <w:tcW w:w="1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64F3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2.2</w:t>
            </w:r>
          </w:p>
        </w:tc>
        <w:tc>
          <w:tcPr>
            <w:tcW w:w="1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9708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−4.84</w:t>
            </w:r>
          </w:p>
        </w:tc>
      </w:tr>
      <w:tr w14:paraId="42A58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CC7C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5902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5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862D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4AA1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−1.2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391A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−2.8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4444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3.36</w:t>
            </w:r>
          </w:p>
        </w:tc>
      </w:tr>
      <w:tr w14:paraId="6A60E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39F0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1DB4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6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BB1C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7</w:t>
            </w:r>
          </w:p>
        </w:tc>
        <w:tc>
          <w:tcPr>
            <w:tcW w:w="1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F629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−0.2</w:t>
            </w:r>
          </w:p>
        </w:tc>
        <w:tc>
          <w:tcPr>
            <w:tcW w:w="1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653A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1.2</w:t>
            </w:r>
          </w:p>
        </w:tc>
        <w:tc>
          <w:tcPr>
            <w:tcW w:w="1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2B57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−0.24</w:t>
            </w:r>
          </w:p>
        </w:tc>
      </w:tr>
      <w:tr w14:paraId="2166B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D349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4D11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7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D203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5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14BB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0.8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CA70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−0.8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40F2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−0.64</w:t>
            </w:r>
          </w:p>
        </w:tc>
      </w:tr>
      <w:tr w14:paraId="02946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2BA7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5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A18C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9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2718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6</w:t>
            </w:r>
          </w:p>
        </w:tc>
        <w:tc>
          <w:tcPr>
            <w:tcW w:w="1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A545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2.8</w:t>
            </w:r>
          </w:p>
        </w:tc>
        <w:tc>
          <w:tcPr>
            <w:tcW w:w="1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ABE9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0.2</w:t>
            </w:r>
          </w:p>
        </w:tc>
        <w:tc>
          <w:tcPr>
            <w:tcW w:w="1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ABC6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0.56</w:t>
            </w:r>
          </w:p>
        </w:tc>
      </w:tr>
    </w:tbl>
    <w:p w14:paraId="1631F851">
      <w:pPr>
        <w:spacing w:after="120"/>
        <w:rPr>
          <w:rFonts w:hint="default" w:ascii="Times New Roman" w:hAnsi="Times New Roman" w:cs="Times New Roman"/>
          <w:i w:val="0"/>
          <w:iCs w:val="0"/>
        </w:rPr>
      </w:pPr>
    </w:p>
    <w:p w14:paraId="0ACE781F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Σ(Product) = −4.84 + 3.36 − 0.24 − 0.64 + 0.56 = −1.80</w:t>
      </w:r>
    </w:p>
    <w:p w14:paraId="5F8131FE">
      <w:pPr>
        <w:shd w:val="clear" w:fill="F2F2F2"/>
        <w:spacing w:before="100" w:after="10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mbria Math" w:cs="Times New Roman"/>
          <w:i w:val="0"/>
          <w:iCs w:val="0"/>
          <w:sz w:val="22"/>
          <w:szCs w:val="22"/>
        </w:rPr>
        <w:t>Cov(x, y) = −1.80 / 5 = −0.36  (population)     |     −1.80 / 4 = −0.45  (sample)</w:t>
      </w:r>
    </w:p>
    <w:tbl>
      <w:tblPr>
        <w:tblStyle w:val="9"/>
        <w:tblW w:w="5000" w:type="pct"/>
        <w:tblInd w:w="0" w:type="dxa"/>
        <w:tblBorders>
          <w:top w:val="single" w:color="0F6E6E" w:sz="4" w:space="0"/>
          <w:left w:val="single" w:color="0F6E6E" w:sz="4" w:space="0"/>
          <w:bottom w:val="single" w:color="0F6E6E" w:sz="4" w:space="0"/>
          <w:right w:val="single" w:color="0F6E6E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80"/>
      </w:tblGrid>
      <w:tr w14:paraId="4A58F6C9">
        <w:tblPrEx>
          <w:tblBorders>
            <w:top w:val="single" w:color="0F6E6E" w:sz="4" w:space="0"/>
            <w:left w:val="single" w:color="0F6E6E" w:sz="4" w:space="0"/>
            <w:bottom w:val="single" w:color="0F6E6E" w:sz="4" w:space="0"/>
            <w:right w:val="single" w:color="0F6E6E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7F5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7E94E5">
            <w:pPr>
              <w:spacing w:after="6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F6E6E"/>
                <w:sz w:val="22"/>
                <w:szCs w:val="22"/>
              </w:rPr>
              <w:t>Interpretation</w:t>
            </w:r>
          </w:p>
          <w:p w14:paraId="4310AFD2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The covariance is negative (≈ −0.36), indicating a weak inverse relationship — as x tends to increase, y tends to slightly decrease, and vice versa.</w:t>
            </w:r>
          </w:p>
          <w:p w14:paraId="608D242C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The magnitude is small relative to the spread of the data, so the linear relationship between x and y is weak, not strong.</w:t>
            </w:r>
          </w:p>
        </w:tc>
      </w:tr>
    </w:tbl>
    <w:p w14:paraId="65BFA046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14408576">
      <w:pPr>
        <w:pStyle w:val="2"/>
        <w:spacing w:before="300" w:after="160"/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30"/>
          <w:szCs w:val="30"/>
        </w:rPr>
        <w:t>Q8. Data Pre-processing — Major Steps &amp; a Systematic Pipeline</w:t>
      </w:r>
    </w:p>
    <w:p w14:paraId="2974E899">
      <w:pPr>
        <w:rPr>
          <w:rFonts w:hint="default"/>
        </w:rPr>
      </w:pPr>
    </w:p>
    <w:p w14:paraId="5A8A1482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Major Steps in Data Pre-processing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50"/>
      </w:tblGrid>
      <w:tr w14:paraId="1737B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FA3C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6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1FFA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Purpose</w:t>
            </w:r>
          </w:p>
        </w:tc>
      </w:tr>
      <w:tr w14:paraId="26A72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7EDC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Data Cleaning</w:t>
            </w:r>
          </w:p>
        </w:tc>
        <w:tc>
          <w:tcPr>
            <w:tcW w:w="6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8BC5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Fill/remove missing values, smooth noisy data, resolve inconsistencies and duplicates.</w:t>
            </w:r>
          </w:p>
        </w:tc>
      </w:tr>
      <w:tr w14:paraId="4B3B7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18CA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Data Integration</w:t>
            </w:r>
          </w:p>
        </w:tc>
        <w:tc>
          <w:tcPr>
            <w:tcW w:w="6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B00F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Merge data from multiple sources into a coherent dataset; resolve redundancy and conflicts.</w:t>
            </w:r>
          </w:p>
        </w:tc>
      </w:tr>
      <w:tr w14:paraId="1E2F6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F902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Data Transformation</w:t>
            </w:r>
          </w:p>
        </w:tc>
        <w:tc>
          <w:tcPr>
            <w:tcW w:w="6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FB4B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Normalize/standardize, aggregate, and generalize data into forms suitable for mining.</w:t>
            </w:r>
          </w:p>
        </w:tc>
      </w:tr>
      <w:tr w14:paraId="3A90A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EBF8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Data Reduction</w:t>
            </w:r>
          </w:p>
        </w:tc>
        <w:tc>
          <w:tcPr>
            <w:tcW w:w="6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5780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Reduce data volume via feature selection, dimensionality reduction, or sampling, while preserving analytical integrity.</w:t>
            </w:r>
          </w:p>
        </w:tc>
      </w:tr>
      <w:tr w14:paraId="1BBFB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83FD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Data Discretization</w:t>
            </w:r>
          </w:p>
        </w:tc>
        <w:tc>
          <w:tcPr>
            <w:tcW w:w="6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2686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Convert continuous attributes into discrete intervals/categories to aid interpretability.</w:t>
            </w:r>
          </w:p>
        </w:tc>
      </w:tr>
    </w:tbl>
    <w:p w14:paraId="28D9C71F">
      <w:pPr>
        <w:spacing w:before="200" w:after="100"/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</w:pPr>
    </w:p>
    <w:p w14:paraId="5C12BA22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Proposed Pipeline for a Dataset with Missing Values, Outliers &amp; Inconsistent Formats</w:t>
      </w:r>
    </w:p>
    <w:p w14:paraId="4EC7DC10">
      <w:pPr>
        <w:pStyle w:val="16"/>
        <w:numPr>
          <w:ilvl w:val="0"/>
          <w:numId w:val="3"/>
        </w:numPr>
        <w:spacing w:after="60"/>
        <w:ind w:left="380" w:leftChars="0" w:hanging="280" w:firstLineChars="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Data Profiling/Auditing — inspect the dataset to identify exactly which fields have missing values, which have inconsistent formats (e.g., 'M'/'Male'/'male'), and where extreme values occur.</w:t>
      </w:r>
    </w:p>
    <w:p w14:paraId="6531277A">
      <w:pPr>
        <w:pStyle w:val="16"/>
        <w:numPr>
          <w:ilvl w:val="0"/>
          <w:numId w:val="3"/>
        </w:numPr>
        <w:spacing w:after="60"/>
        <w:ind w:left="380" w:leftChars="0" w:hanging="280" w:firstLineChars="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Standardize Formats — unify categorical labels, units, and date/number formats first (e.g., Gender → Male/Female).</w:t>
      </w:r>
    </w:p>
    <w:p w14:paraId="77C06F1E">
      <w:pPr>
        <w:pStyle w:val="16"/>
        <w:numPr>
          <w:ilvl w:val="0"/>
          <w:numId w:val="3"/>
        </w:numPr>
        <w:spacing w:after="60"/>
        <w:ind w:left="380" w:leftChars="0" w:hanging="280" w:firstLineChars="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Handle Missing Values — impute using median/mode or k-NN, now that categories are consistent and won't split a value across mismatched labels.</w:t>
      </w:r>
    </w:p>
    <w:p w14:paraId="70CE1D6A">
      <w:pPr>
        <w:pStyle w:val="16"/>
        <w:numPr>
          <w:ilvl w:val="0"/>
          <w:numId w:val="3"/>
        </w:numPr>
        <w:spacing w:after="60"/>
        <w:ind w:left="380" w:leftChars="0" w:hanging="280" w:firstLineChars="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Detect &amp; Treat Outliers — apply Z-score or IQR on the now-complete numeric columns, then cap, transform, or remove flagged extreme values.</w:t>
      </w:r>
    </w:p>
    <w:p w14:paraId="7202F0FA">
      <w:pPr>
        <w:pStyle w:val="16"/>
        <w:numPr>
          <w:ilvl w:val="0"/>
          <w:numId w:val="3"/>
        </w:numPr>
        <w:spacing w:after="60"/>
        <w:ind w:left="380" w:leftChars="0" w:hanging="280" w:firstLineChars="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Transform/Normalize — apply Min-Max or Z-score normalization on the cleaned, outlier-treated numeric attributes.</w:t>
      </w:r>
    </w:p>
    <w:p w14:paraId="3B16FE13">
      <w:pPr>
        <w:pStyle w:val="16"/>
        <w:numPr>
          <w:ilvl w:val="0"/>
          <w:numId w:val="3"/>
        </w:numPr>
        <w:spacing w:after="60"/>
        <w:ind w:left="380" w:leftChars="0" w:hanging="280" w:firstLineChars="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Reduce/Discretize as Needed — apply feature selection, dimensionality reduction, or binning to finalize the dataset for mining.</w:t>
      </w:r>
    </w:p>
    <w:tbl>
      <w:tblPr>
        <w:tblStyle w:val="9"/>
        <w:tblW w:w="5000" w:type="pct"/>
        <w:tblInd w:w="0" w:type="dxa"/>
        <w:tblBorders>
          <w:top w:val="single" w:color="0F6E6E" w:sz="4" w:space="0"/>
          <w:left w:val="single" w:color="0F6E6E" w:sz="4" w:space="0"/>
          <w:bottom w:val="single" w:color="0F6E6E" w:sz="4" w:space="0"/>
          <w:right w:val="single" w:color="0F6E6E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80"/>
      </w:tblGrid>
      <w:tr w14:paraId="2669C040">
        <w:tblPrEx>
          <w:tblBorders>
            <w:top w:val="single" w:color="0F6E6E" w:sz="4" w:space="0"/>
            <w:left w:val="single" w:color="0F6E6E" w:sz="4" w:space="0"/>
            <w:bottom w:val="single" w:color="0F6E6E" w:sz="4" w:space="0"/>
            <w:right w:val="single" w:color="0F6E6E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7F5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2B7F27">
            <w:pPr>
              <w:spacing w:after="6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F6E6E"/>
                <w:sz w:val="22"/>
                <w:szCs w:val="22"/>
              </w:rPr>
              <w:t>Justification of the Sequence</w:t>
            </w:r>
          </w:p>
          <w:p w14:paraId="3BBC04E3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Format standardization comes first: if left until later, inconsistent labels (e.g., 'M' vs 'Male') would be treated as different categories, corrupting both imputation and grouping.</w:t>
            </w:r>
          </w:p>
          <w:p w14:paraId="0065CA3D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Missing-value handling precedes outlier detection: unresolved missing values (NaN) would break mean/standard-deviation calculations needed for Z-score outlier detection.</w:t>
            </w:r>
          </w:p>
          <w:p w14:paraId="42E61CCC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Outlier treatment precedes normalization: extreme values, if left untreated, would distort the min/max range or the mean/std used for scaling, compressing the rest of the legitimate data.</w:t>
            </w:r>
          </w:p>
          <w:p w14:paraId="6D8E48A1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Reduction/discretization is placed last because it should operate on already-trustworthy, consistently-scaled data — reducing dimensions or binning noisy/inconsistent data first would only encode the errors more deeply.</w:t>
            </w:r>
          </w:p>
        </w:tc>
      </w:tr>
    </w:tbl>
    <w:p w14:paraId="7B272447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7AE384D6">
      <w:pPr>
        <w:pStyle w:val="2"/>
        <w:spacing w:before="300" w:after="1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30"/>
          <w:szCs w:val="30"/>
        </w:rPr>
        <w:t>Q9. Equal-Frequency (Equi-Depth) Binning — Hospital Patient Ages</w:t>
      </w:r>
    </w:p>
    <w:p w14:paraId="3687FD3D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Sample data (n = 27, already sorted): 13, 15, 16, 16, 19, 20, 20, 21, 22, 22, 25, 25, 25, 25, 30, 33, 33, 35, 35, 35, 35, 36, 40, 45, 46, 52, 70</w:t>
      </w:r>
    </w:p>
    <w:p w14:paraId="311C5044">
      <w:pPr>
        <w:spacing w:after="120" w:line="300" w:lineRule="auto"/>
        <w:rPr>
          <w:rFonts w:hint="default" w:ascii="Times New Roman" w:hAnsi="Times New Roman" w:cs="Times New Roman"/>
          <w:i w:val="0"/>
          <w:iCs w:val="0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Local smoothing by equal-frequency binning is performed using a bin depth of 3 (each bin holds 3 sorted values), giving 27 / 3 = 9 bins.</w:t>
      </w:r>
    </w:p>
    <w:p w14:paraId="55C4927C">
      <w:pPr>
        <w:spacing w:after="120" w:line="300" w:lineRule="auto"/>
        <w:rPr>
          <w:rFonts w:hint="default" w:ascii="Times New Roman" w:hAnsi="Times New Roman" w:cs="Times New Roman"/>
          <w:i w:val="0"/>
          <w:iCs w:val="0"/>
          <w:sz w:val="22"/>
          <w:szCs w:val="22"/>
        </w:rPr>
      </w:pPr>
    </w:p>
    <w:p w14:paraId="7B8F1428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Step 1 — Partition into Equal-Frequency Bins (depth = 3)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7700"/>
      </w:tblGrid>
      <w:tr w14:paraId="06F21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E08A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Bin</w:t>
            </w:r>
          </w:p>
        </w:tc>
        <w:tc>
          <w:tcPr>
            <w:tcW w:w="7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9080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Values</w:t>
            </w:r>
          </w:p>
        </w:tc>
      </w:tr>
      <w:tr w14:paraId="1E90D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125F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1</w:t>
            </w:r>
          </w:p>
        </w:tc>
        <w:tc>
          <w:tcPr>
            <w:tcW w:w="7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E8CA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13, 15, 16</w:t>
            </w:r>
          </w:p>
        </w:tc>
      </w:tr>
      <w:tr w14:paraId="22C28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83BE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2</w:t>
            </w:r>
          </w:p>
        </w:tc>
        <w:tc>
          <w:tcPr>
            <w:tcW w:w="7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895F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16, 19, 20</w:t>
            </w:r>
          </w:p>
        </w:tc>
      </w:tr>
      <w:tr w14:paraId="65634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7374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3</w:t>
            </w:r>
          </w:p>
        </w:tc>
        <w:tc>
          <w:tcPr>
            <w:tcW w:w="7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955A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20, 21, 22</w:t>
            </w:r>
          </w:p>
        </w:tc>
      </w:tr>
      <w:tr w14:paraId="6E1DB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F031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4</w:t>
            </w:r>
          </w:p>
        </w:tc>
        <w:tc>
          <w:tcPr>
            <w:tcW w:w="7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89A3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22, 25, 25</w:t>
            </w:r>
          </w:p>
        </w:tc>
      </w:tr>
      <w:tr w14:paraId="5D95B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CE6E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5</w:t>
            </w:r>
          </w:p>
        </w:tc>
        <w:tc>
          <w:tcPr>
            <w:tcW w:w="7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F24E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25, 25, 30</w:t>
            </w:r>
          </w:p>
        </w:tc>
      </w:tr>
      <w:tr w14:paraId="3B157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7AB7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6</w:t>
            </w:r>
          </w:p>
        </w:tc>
        <w:tc>
          <w:tcPr>
            <w:tcW w:w="7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2800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33, 33, 35</w:t>
            </w:r>
          </w:p>
        </w:tc>
      </w:tr>
      <w:tr w14:paraId="1D208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0AED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7</w:t>
            </w:r>
          </w:p>
        </w:tc>
        <w:tc>
          <w:tcPr>
            <w:tcW w:w="7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415E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35, 35, 35</w:t>
            </w:r>
          </w:p>
        </w:tc>
      </w:tr>
      <w:tr w14:paraId="739C5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5DF2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8</w:t>
            </w:r>
          </w:p>
        </w:tc>
        <w:tc>
          <w:tcPr>
            <w:tcW w:w="7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F431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36, 40, 45</w:t>
            </w:r>
          </w:p>
        </w:tc>
      </w:tr>
      <w:tr w14:paraId="2F466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6614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9</w:t>
            </w:r>
          </w:p>
        </w:tc>
        <w:tc>
          <w:tcPr>
            <w:tcW w:w="7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19A0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46, 52, 70</w:t>
            </w:r>
          </w:p>
        </w:tc>
      </w:tr>
    </w:tbl>
    <w:p w14:paraId="5EB88E76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Step 2 — Smoothing by Bin Means</w:t>
      </w:r>
    </w:p>
    <w:p w14:paraId="76165F7E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Each value in a bin is replaced by the mean of that bin: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600"/>
        <w:gridCol w:w="1750"/>
        <w:gridCol w:w="3800"/>
      </w:tblGrid>
      <w:tr w14:paraId="107E8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1902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Bin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F8FD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Values</w:t>
            </w:r>
          </w:p>
        </w:tc>
        <w:tc>
          <w:tcPr>
            <w:tcW w:w="1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5F0A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Bin Mean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00C5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Smoothed Values</w:t>
            </w:r>
          </w:p>
        </w:tc>
      </w:tr>
      <w:tr w14:paraId="38B1A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F8F8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1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B212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13, 15, 16</w:t>
            </w:r>
          </w:p>
        </w:tc>
        <w:tc>
          <w:tcPr>
            <w:tcW w:w="1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EE81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14.67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7619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14.67, 14.67, 14.67</w:t>
            </w:r>
          </w:p>
        </w:tc>
      </w:tr>
      <w:tr w14:paraId="787A6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CF79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2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47BB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16, 19, 20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355E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18.33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132D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18.33, 18.33, 18.33</w:t>
            </w:r>
          </w:p>
        </w:tc>
      </w:tr>
      <w:tr w14:paraId="08ABB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BBEE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3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B08C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20, 21, 22</w:t>
            </w:r>
          </w:p>
        </w:tc>
        <w:tc>
          <w:tcPr>
            <w:tcW w:w="1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4616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21.00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D3FA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21.00, 21.00, 21.00</w:t>
            </w:r>
          </w:p>
        </w:tc>
      </w:tr>
      <w:tr w14:paraId="4EC32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9F6C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4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1CF6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22, 25, 25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737C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24.00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DEDA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24.00, 24.00, 24.00</w:t>
            </w:r>
          </w:p>
        </w:tc>
      </w:tr>
      <w:tr w14:paraId="0893C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F623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5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9C15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25, 25, 30</w:t>
            </w:r>
          </w:p>
        </w:tc>
        <w:tc>
          <w:tcPr>
            <w:tcW w:w="1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3AA3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26.67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FB5A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26.67, 26.67, 26.67</w:t>
            </w:r>
          </w:p>
        </w:tc>
      </w:tr>
      <w:tr w14:paraId="0F2F1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EFA3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6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955F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33, 33, 35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6D32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33.67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FB69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33.67, 33.67, 33.67</w:t>
            </w:r>
          </w:p>
        </w:tc>
      </w:tr>
      <w:tr w14:paraId="21E89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655C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7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1C6D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35, 35, 35</w:t>
            </w:r>
          </w:p>
        </w:tc>
        <w:tc>
          <w:tcPr>
            <w:tcW w:w="1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C5EF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35.00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60D6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35.00, 35.00, 35.00</w:t>
            </w:r>
          </w:p>
        </w:tc>
      </w:tr>
      <w:tr w14:paraId="16FB3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955A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8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7A14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36, 40, 45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5377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40.33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F20B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40.33, 40.33, 40.33</w:t>
            </w:r>
          </w:p>
        </w:tc>
      </w:tr>
      <w:tr w14:paraId="1FC9D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9BA7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9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0497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46, 52, 70</w:t>
            </w:r>
          </w:p>
        </w:tc>
        <w:tc>
          <w:tcPr>
            <w:tcW w:w="1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0DFD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56.00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3011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56.00, 56.00, 56.00</w:t>
            </w:r>
          </w:p>
        </w:tc>
      </w:tr>
    </w:tbl>
    <w:p w14:paraId="463E80B8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Step 3 — Smoothing by Bin Boundaries (illustrative alternative)</w:t>
      </w:r>
    </w:p>
    <w:p w14:paraId="57370DC2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Each value is instead replaced by whichever bin boundary (min or max) it is closer to: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50"/>
        <w:gridCol w:w="1550"/>
        <w:gridCol w:w="2650"/>
        <w:gridCol w:w="4000"/>
      </w:tblGrid>
      <w:tr w14:paraId="4BA84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F7F1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Bin</w:t>
            </w:r>
          </w:p>
        </w:tc>
        <w:tc>
          <w:tcPr>
            <w:tcW w:w="1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B17E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Min – Max</w:t>
            </w:r>
          </w:p>
        </w:tc>
        <w:tc>
          <w:tcPr>
            <w:tcW w:w="2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4E3D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Original Values</w:t>
            </w:r>
          </w:p>
        </w:tc>
        <w:tc>
          <w:tcPr>
            <w:tcW w:w="4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0130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Smoothed (Boundary) Values</w:t>
            </w:r>
          </w:p>
        </w:tc>
      </w:tr>
      <w:tr w14:paraId="2377C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67EC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1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B8BF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13 – 16</w:t>
            </w:r>
          </w:p>
        </w:tc>
        <w:tc>
          <w:tcPr>
            <w:tcW w:w="2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5A69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13, 15, 16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1589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13, 16, 16</w:t>
            </w:r>
          </w:p>
        </w:tc>
      </w:tr>
      <w:tr w14:paraId="4E9DA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DE09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2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4D38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16 – 20</w:t>
            </w:r>
          </w:p>
        </w:tc>
        <w:tc>
          <w:tcPr>
            <w:tcW w:w="2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5B60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16, 19, 20</w:t>
            </w:r>
          </w:p>
        </w:tc>
        <w:tc>
          <w:tcPr>
            <w:tcW w:w="4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E62E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16, 20, 20</w:t>
            </w:r>
          </w:p>
        </w:tc>
      </w:tr>
      <w:tr w14:paraId="0C114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C909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3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D244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20 – 22</w:t>
            </w:r>
          </w:p>
        </w:tc>
        <w:tc>
          <w:tcPr>
            <w:tcW w:w="2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B5F5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20, 21, 22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A879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20, 20*, 22</w:t>
            </w:r>
          </w:p>
        </w:tc>
      </w:tr>
      <w:tr w14:paraId="7ED92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1587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4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A806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22 – 25</w:t>
            </w:r>
          </w:p>
        </w:tc>
        <w:tc>
          <w:tcPr>
            <w:tcW w:w="2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1C3D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22, 25, 25</w:t>
            </w:r>
          </w:p>
        </w:tc>
        <w:tc>
          <w:tcPr>
            <w:tcW w:w="4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2998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22, 25, 25</w:t>
            </w:r>
          </w:p>
        </w:tc>
      </w:tr>
      <w:tr w14:paraId="18B1F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FBEA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5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57F1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25 – 30</w:t>
            </w:r>
          </w:p>
        </w:tc>
        <w:tc>
          <w:tcPr>
            <w:tcW w:w="2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9AF3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25, 25, 30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0F1B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25, 25, 30</w:t>
            </w:r>
          </w:p>
        </w:tc>
      </w:tr>
      <w:tr w14:paraId="6E2C9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3C52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6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A715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33 – 35</w:t>
            </w:r>
          </w:p>
        </w:tc>
        <w:tc>
          <w:tcPr>
            <w:tcW w:w="2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FBCA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33, 33, 35</w:t>
            </w:r>
          </w:p>
        </w:tc>
        <w:tc>
          <w:tcPr>
            <w:tcW w:w="4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288D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33, 33, 35</w:t>
            </w:r>
          </w:p>
        </w:tc>
      </w:tr>
      <w:tr w14:paraId="7E51A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E8D9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7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D51D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35 – 35</w:t>
            </w:r>
          </w:p>
        </w:tc>
        <w:tc>
          <w:tcPr>
            <w:tcW w:w="2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1C13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35, 35, 35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E55E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35, 35, 35</w:t>
            </w:r>
          </w:p>
        </w:tc>
      </w:tr>
      <w:tr w14:paraId="2B6FC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6B22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8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0F86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36 – 45</w:t>
            </w:r>
          </w:p>
        </w:tc>
        <w:tc>
          <w:tcPr>
            <w:tcW w:w="2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4A89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36, 40, 45</w:t>
            </w:r>
          </w:p>
        </w:tc>
        <w:tc>
          <w:tcPr>
            <w:tcW w:w="4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59B5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36, 36, 45</w:t>
            </w:r>
          </w:p>
        </w:tc>
      </w:tr>
      <w:tr w14:paraId="12C2E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674E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9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1F8A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46 – 70</w:t>
            </w:r>
          </w:p>
        </w:tc>
        <w:tc>
          <w:tcPr>
            <w:tcW w:w="2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BEE6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46, 52, 70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21D3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46, 46, 70</w:t>
            </w:r>
          </w:p>
        </w:tc>
      </w:tr>
    </w:tbl>
    <w:p w14:paraId="39DB84D0">
      <w:pPr>
        <w:spacing w:after="120" w:line="300" w:lineRule="auto"/>
        <w:rPr>
          <w:rFonts w:hint="default" w:ascii="Times New Roman" w:hAnsi="Times New Roman" w:cs="Times New Roman"/>
          <w:i w:val="0"/>
          <w:iCs w:val="0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sz w:val="20"/>
          <w:szCs w:val="20"/>
        </w:rPr>
        <w:t>Bin 3, value 21 is equidistant from both boundaries (20 and 22); the tie is conventionally broken toward the lower boundary.</w:t>
      </w:r>
    </w:p>
    <w:p w14:paraId="30A34EEE">
      <w:pPr>
        <w:spacing w:after="120" w:line="300" w:lineRule="auto"/>
        <w:rPr>
          <w:rFonts w:hint="default" w:ascii="Times New Roman" w:hAnsi="Times New Roman" w:cs="Times New Roman"/>
          <w:i w:val="0"/>
          <w:iCs w:val="0"/>
          <w:sz w:val="20"/>
          <w:szCs w:val="20"/>
        </w:rPr>
      </w:pPr>
    </w:p>
    <w:tbl>
      <w:tblPr>
        <w:tblStyle w:val="9"/>
        <w:tblW w:w="5000" w:type="pct"/>
        <w:tblInd w:w="0" w:type="dxa"/>
        <w:tblBorders>
          <w:top w:val="single" w:color="0F6E6E" w:sz="4" w:space="0"/>
          <w:left w:val="single" w:color="0F6E6E" w:sz="4" w:space="0"/>
          <w:bottom w:val="single" w:color="0F6E6E" w:sz="4" w:space="0"/>
          <w:right w:val="single" w:color="0F6E6E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80"/>
      </w:tblGrid>
      <w:tr w14:paraId="116ED54D">
        <w:tblPrEx>
          <w:tblBorders>
            <w:top w:val="single" w:color="0F6E6E" w:sz="4" w:space="0"/>
            <w:left w:val="single" w:color="0F6E6E" w:sz="4" w:space="0"/>
            <w:bottom w:val="single" w:color="0F6E6E" w:sz="4" w:space="0"/>
            <w:right w:val="single" w:color="0F6E6E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7F5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AB7613">
            <w:pPr>
              <w:spacing w:after="6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F6E6E"/>
                <w:sz w:val="22"/>
                <w:szCs w:val="22"/>
              </w:rPr>
              <w:t>Analysis</w:t>
            </w:r>
          </w:p>
          <w:p w14:paraId="2AB3BFE4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Bin means produce smooth, evenly-spread representative values and work well for general trend analysis of age distribution.</w:t>
            </w:r>
          </w:p>
          <w:p w14:paraId="3AC63B07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Bin boundaries preserve the extremes of each bin (useful when the analyst wants to retain the range's edges) but produce a coarser, more "jumpy" smoothing since only two possible values exist per bin.</w:t>
            </w:r>
          </w:p>
          <w:p w14:paraId="0DB176AB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Equal-frequency binning here ensures every bin has an equal share of patients (3 each), which is important in health analytics so no age group is over- or under-represented in the smoothed trend.</w:t>
            </w:r>
          </w:p>
        </w:tc>
      </w:tr>
    </w:tbl>
    <w:p w14:paraId="7C58032B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2BE4BFF5">
      <w:pPr>
        <w:pStyle w:val="2"/>
        <w:spacing w:before="300" w:after="160"/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30"/>
          <w:szCs w:val="30"/>
        </w:rPr>
        <w:t>Q10. Data Discretization: Equal-Width vs Equal-Frequency Binning</w:t>
      </w:r>
    </w:p>
    <w:p w14:paraId="5DF40784">
      <w:pPr>
        <w:rPr>
          <w:rFonts w:hint="default"/>
        </w:rPr>
      </w:pPr>
    </w:p>
    <w:p w14:paraId="4F310FB9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What is Data Discretization?</w:t>
      </w:r>
    </w:p>
    <w:p w14:paraId="1793173A">
      <w:pPr>
        <w:spacing w:after="120" w:line="300" w:lineRule="auto"/>
        <w:rPr>
          <w:rFonts w:hint="default" w:ascii="Times New Roman" w:hAnsi="Times New Roman" w:cs="Times New Roman"/>
          <w:i w:val="0"/>
          <w:iCs w:val="0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Data discretization is the process of converting continuous numeric attributes into a finite set of discrete intervals or categorical labels (e.g., converting exact Age values into 'Young / Middle-aged / Senior'). It is typically performed via binning, histogram analysis, or concept-hierarchy generation.</w:t>
      </w:r>
    </w:p>
    <w:p w14:paraId="42111B50">
      <w:pPr>
        <w:spacing w:after="120" w:line="300" w:lineRule="auto"/>
        <w:rPr>
          <w:rFonts w:hint="default" w:ascii="Times New Roman" w:hAnsi="Times New Roman" w:cs="Times New Roman"/>
          <w:i w:val="0"/>
          <w:iCs w:val="0"/>
          <w:sz w:val="22"/>
          <w:szCs w:val="22"/>
        </w:rPr>
      </w:pPr>
    </w:p>
    <w:p w14:paraId="1FF3871A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Importance in Data Mining</w:t>
      </w:r>
    </w:p>
    <w:p w14:paraId="4791ECFB">
      <w:pPr>
        <w:pStyle w:val="16"/>
        <w:numPr>
          <w:ilvl w:val="0"/>
          <w:numId w:val="2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Improves interpretability — discrete labels (Low/Medium/High) are easier for humans to understand than raw continuous numbers.</w:t>
      </w:r>
    </w:p>
    <w:p w14:paraId="45C39B3B">
      <w:pPr>
        <w:pStyle w:val="16"/>
        <w:numPr>
          <w:ilvl w:val="0"/>
          <w:numId w:val="2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Reduces data volume/noise — smooths minor variations, which benefits algorithms sensitive to noise.</w:t>
      </w:r>
    </w:p>
    <w:p w14:paraId="7FA9EE81">
      <w:pPr>
        <w:pStyle w:val="16"/>
        <w:numPr>
          <w:ilvl w:val="0"/>
          <w:numId w:val="2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Required by many mining algorithms — several classification algorithms (e.g., decision trees, some association-rule miners) work more effectively, or require, categorical/discrete input.</w:t>
      </w:r>
    </w:p>
    <w:p w14:paraId="029DA88A">
      <w:pPr>
        <w:pStyle w:val="16"/>
        <w:numPr>
          <w:ilvl w:val="0"/>
          <w:numId w:val="2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Supports concept hierarchy construction — enables analysis at multiple levels of abstraction (e.g., Age → Age Group → Life Stage).</w:t>
      </w:r>
    </w:p>
    <w:p w14:paraId="18B01593">
      <w:pPr>
        <w:pStyle w:val="16"/>
        <w:numPr>
          <w:numId w:val="0"/>
        </w:numPr>
        <w:spacing w:after="60"/>
        <w:ind w:left="100" w:leftChars="0"/>
        <w:rPr>
          <w:rFonts w:hint="default" w:ascii="Times New Roman" w:hAnsi="Times New Roman" w:cs="Times New Roman"/>
          <w:i w:val="0"/>
          <w:iCs w:val="0"/>
        </w:rPr>
      </w:pPr>
    </w:p>
    <w:p w14:paraId="30E40892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Equal-Width Binning vs Equal-Frequency Binning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3750"/>
        <w:gridCol w:w="3700"/>
      </w:tblGrid>
      <w:tr w14:paraId="2E425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11D9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7245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Equal-Width Binning</w:t>
            </w:r>
          </w:p>
        </w:tc>
        <w:tc>
          <w:tcPr>
            <w:tcW w:w="3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A796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Equal-Frequency Binning</w:t>
            </w:r>
          </w:p>
        </w:tc>
      </w:tr>
      <w:tr w14:paraId="624EF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CF6D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Definition</w:t>
            </w:r>
          </w:p>
        </w:tc>
        <w:tc>
          <w:tcPr>
            <w:tcW w:w="3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DACD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Divides the data range into k intervals of identical width.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A6E4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Divides the data into k bins that each contain (approximately) the same number of records.</w:t>
            </w:r>
          </w:p>
        </w:tc>
      </w:tr>
      <w:tr w14:paraId="4777A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F0AF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Formula</w:t>
            </w:r>
          </w:p>
        </w:tc>
        <w:tc>
          <w:tcPr>
            <w:tcW w:w="3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FFD7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Width = (Max − Min) / k</w:t>
            </w:r>
          </w:p>
        </w:tc>
        <w:tc>
          <w:tcPr>
            <w:tcW w:w="3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C583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size ≈ n / k records per bin</w:t>
            </w:r>
          </w:p>
        </w:tc>
      </w:tr>
      <w:tr w14:paraId="5952E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867F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Population</w:t>
            </w:r>
          </w:p>
        </w:tc>
        <w:tc>
          <w:tcPr>
            <w:tcW w:w="3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1E9A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May be uneven — some bins can be sparse or very crowded if data is skewed.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769F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Always balanced — every bin has a comparable number of records.</w:t>
            </w:r>
          </w:p>
        </w:tc>
      </w:tr>
      <w:tr w14:paraId="16E74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B8C9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Sensitivity to Outliers</w:t>
            </w:r>
          </w:p>
        </w:tc>
        <w:tc>
          <w:tcPr>
            <w:tcW w:w="3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EFBF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Highly sensitive — one extreme value stretches the range and can leave many bins nearly empty.</w:t>
            </w:r>
          </w:p>
        </w:tc>
        <w:tc>
          <w:tcPr>
            <w:tcW w:w="3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A350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Robust — outliers are simply placed at the edge of the extreme bin without distorting the others.</w:t>
            </w:r>
          </w:p>
        </w:tc>
      </w:tr>
      <w:tr w14:paraId="383E7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BCA6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Best suited for</w:t>
            </w:r>
          </w:p>
        </w:tc>
        <w:tc>
          <w:tcPr>
            <w:tcW w:w="3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8EB8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Roughly uniform-distribution data.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BE49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Skewed data, or when balanced bin sizes are required.</w:t>
            </w:r>
          </w:p>
        </w:tc>
      </w:tr>
    </w:tbl>
    <w:p w14:paraId="5110C93E">
      <w:pPr>
        <w:spacing w:before="200" w:after="100"/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</w:pPr>
    </w:p>
    <w:p w14:paraId="01FAF48F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Worked Examples</w:t>
      </w:r>
    </w:p>
    <w:p w14:paraId="5EEDDB78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Example — Study_Hours = {2,3,4,5,6,7,8,9,10,11}, k = 3:</w:t>
      </w:r>
    </w:p>
    <w:p w14:paraId="18D8A806">
      <w:pPr>
        <w:pStyle w:val="16"/>
        <w:numPr>
          <w:ilvl w:val="0"/>
          <w:numId w:val="2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Equal-Width: width = (11−2)/3 = 3 → bins [2–5), [5–8), [8–11] → sizes 3, 3, 4.</w:t>
      </w:r>
    </w:p>
    <w:p w14:paraId="45B9AE0D">
      <w:pPr>
        <w:pStyle w:val="16"/>
        <w:numPr>
          <w:ilvl w:val="0"/>
          <w:numId w:val="2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Equal-Frequency: ≈10/3 per bin → bins {2,3,4,5}, {6,7,8}, {9,10,11} → sizes 4, 3, 3 (balanced record counts).</w:t>
      </w:r>
    </w:p>
    <w:p w14:paraId="2B03DDE9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Example — Visit_Duration (seconds) = {15,30,45,60,120,300,600,900,1800,3600}, k = 3 (highly skewed):</w:t>
      </w:r>
    </w:p>
    <w:p w14:paraId="5CCB5E2A">
      <w:pPr>
        <w:pStyle w:val="16"/>
        <w:numPr>
          <w:ilvl w:val="0"/>
          <w:numId w:val="2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Equal-Width: width = (3600−15)/3 = 1195 → bins [15–1210), [1210–2405), [2405–3600] → almost all 10 values fall in the first bin, the other two bins are nearly empty.</w:t>
      </w:r>
    </w:p>
    <w:p w14:paraId="0FFAFA5B">
      <w:pPr>
        <w:pStyle w:val="16"/>
        <w:numPr>
          <w:ilvl w:val="0"/>
          <w:numId w:val="2"/>
        </w:numPr>
        <w:spacing w:after="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Equal-Frequency: bins {15,30,45,60}, {120,300,600}, {900,1800,3600} → 4, 3, 3 records — every bin is meaningfully populated.</w:t>
      </w:r>
    </w:p>
    <w:tbl>
      <w:tblPr>
        <w:tblStyle w:val="9"/>
        <w:tblW w:w="5000" w:type="pct"/>
        <w:tblInd w:w="0" w:type="dxa"/>
        <w:tblBorders>
          <w:top w:val="single" w:color="0F6E6E" w:sz="4" w:space="0"/>
          <w:left w:val="single" w:color="0F6E6E" w:sz="4" w:space="0"/>
          <w:bottom w:val="single" w:color="0F6E6E" w:sz="4" w:space="0"/>
          <w:right w:val="single" w:color="0F6E6E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80"/>
      </w:tblGrid>
      <w:tr w14:paraId="79056E38">
        <w:tblPrEx>
          <w:tblBorders>
            <w:top w:val="single" w:color="0F6E6E" w:sz="4" w:space="0"/>
            <w:left w:val="single" w:color="0F6E6E" w:sz="4" w:space="0"/>
            <w:bottom w:val="single" w:color="0F6E6E" w:sz="4" w:space="0"/>
            <w:right w:val="single" w:color="0F6E6E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7F5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569291">
            <w:pPr>
              <w:spacing w:after="6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F6E6E"/>
                <w:sz w:val="22"/>
                <w:szCs w:val="22"/>
              </w:rPr>
              <w:t>Evaluation — Impact on Data Analysis</w:t>
            </w:r>
          </w:p>
          <w:p w14:paraId="4D0070CF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For skewed data (like visit duration or income), equal-width binning produces unusable, unbalanced bins where most records collapse into a single interval — this weakens any downstream analysis or model trained on those bins.</w:t>
            </w:r>
          </w:p>
          <w:p w14:paraId="37B4192E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Equal-frequency binning guarantees statistically meaningful bin sizes, making it the safer default for skewed real-world data, though its interval boundaries are less intuitive to interpret (they don't align to "round" numbers).</w:t>
            </w:r>
          </w:p>
          <w:p w14:paraId="47184459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Equal-width binning remains preferable when the data is roughly uniform and interpretability of clean, evenly-spaced ranges (e.g., 0–20, 20–40, 40–60) matters more than balanced record counts.</w:t>
            </w:r>
          </w:p>
          <w:p w14:paraId="18902CEF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In practice, the choice should be guided by the underlying data distribution: check for skew first, then pick the binning method that avoids empty or overcrowded bins.</w:t>
            </w:r>
          </w:p>
        </w:tc>
      </w:tr>
    </w:tbl>
    <w:p w14:paraId="1159E29F">
      <w:pPr>
        <w:rPr>
          <w:rFonts w:hint="default" w:ascii="Times New Roman" w:hAnsi="Times New Roman" w:cs="Times New Roman"/>
          <w:i w:val="0"/>
          <w:iCs w:val="0"/>
        </w:rPr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380" w:hanging="280"/>
      </w:pPr>
    </w:lvl>
  </w:abstractNum>
  <w:abstractNum w:abstractNumId="1">
    <w:nsid w:val="538F0B13"/>
    <w:multiLevelType w:val="singleLevel"/>
    <w:tmpl w:val="538F0B1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3B52A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386</Words>
  <Characters>2452</Characters>
  <TotalTime>10</TotalTime>
  <ScaleCrop>false</ScaleCrop>
  <LinksUpToDate>false</LinksUpToDate>
  <CharactersWithSpaces>2788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2026-07-28T06:11:00Z</dcterms:created>
  <dc:creator>Un-named</dc:creator>
  <cp:lastModifiedBy>Parveen</cp:lastModifiedBy>
  <dcterms:modified xsi:type="dcterms:W3CDTF">2026-07-28T06:23:05Z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eyJoZGlkIjoiODYzYzMyMzQzZjY3ZDY1ODY2NjIwODM5ZTIxMGFjNmYiLCJ1c2VySWQiOiI1Njc1MDYzNTEyNTUifQ==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A6DBD21AD0BF4C5AA95FD92356AC8975_12</vt:lpwstr>
  </property>
</Properties>
</file>