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545"/>
            <wp:effectExtent b="0" l="0" r="0" t="0"/>
            <wp:docPr descr="page2image568" id="24" name="image1.png"/>
            <a:graphic>
              <a:graphicData uri="http://schemas.openxmlformats.org/drawingml/2006/picture">
                <pic:pic>
                  <pic:nvPicPr>
                    <pic:cNvPr descr="page2image56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Tableau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Lesson-End Project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23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Analysis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8ljppvl19h6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0vzkhnnjxk5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qtwa5plk45k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Mike Goodman, the head of Product Management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a retail product company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is also responsible for product pricing. Mike needs to determine if his products are appropriately priced to maximize both sales and profit ratios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To achieve that, he should build a scatter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plot that will present sales by product category over time, with the ability to drill down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product at the regional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86hvenlalp8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build a dashboard that represents sales in order to determine if the pricing of products is appropriate to maximize sales and profit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pyez1vqjpc8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 to be performed: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cckh2y6eclfp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saved Sample Superstore dataset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Connect to the Saved Sample Superstore dataset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Heat Map chart called Product Heat Map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table with Category and year of Order Date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Drag month of Order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Drag Region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Show Me feature to change the table into a heat map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Scatter Plot chart called Product Scatter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table with Category, Sub-Category, and Product Name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Drag Segment and Measure Names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Drag year of Order Date, month of Order Date, Region, and Measure Values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Drag Measure Values and Profit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Show Me feature to change the table into a Scatter plot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 reference line that shows the median line</w:t>
      </w:r>
    </w:p>
    <w:sectPr>
      <w:headerReference r:id="rId9" w:type="default"/>
      <w:pgSz w:h="15840" w:w="12240" w:orient="portrait"/>
      <w:pgMar w:bottom="171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50F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1CC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1CCE"/>
    <w:rPr>
      <w:rFonts w:ascii="Segoe UI" w:cs="Segoe UI" w:hAnsi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2114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2114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3B5Waj7cUMI0Afgok+XXF2ZVKA==">AMUW2mXRFY1XS1AXmBBZ5+Qd6xVWpt81Y2UNpOpuZZTG/9VSf7LT5+mx/bSKI6QC+LbwMJ/TxmQSiGOELeHz/nU12Sdfz3nqPBQodI7ttQKYYgR62DD3P/WwrNwyDMdDpUhwAuwvgboXC/84W3iVXMB7d2k76RtShWMHiJN8+wFiNQhuRO5V//Zmg9cFSKEiKXS4x1Rn1kgy3L59pDe2e6GGVCJ4kQfGMHolzltoP2bJDUggE4wHROQ=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2019-12-08T14:52:00Z</dcterms:created>
  <dc:creator>Neha Pramod Vaidya</dc:creator>
</cp:coreProperties>
</file>