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NMRMetaboWizard</w:t>
        <w:br/>
      </w:r>
      <w:r>
        <w:rPr>
          <w:sz w:val="34"/>
        </w:rPr>
        <w:t>Supplementary Software Documentation and User Guide</w:t>
      </w:r>
    </w:p>
    <w:p>
      <w:pPr>
        <w:jc w:val="center"/>
      </w:pPr>
      <w:r>
        <w:rPr>
          <w:b/>
        </w:rPr>
        <w:t>Version 0.1.0 release-candidate documentation</w:t>
        <w:br/>
      </w:r>
      <w:r>
        <w:t>Parastoo Vahdatiyekta and Tan-Phat Huynh</w:t>
        <w:br/>
      </w:r>
      <w:r>
        <w:t>Chemistry and Chemical Technology, Faculty of Science and Engineering,</w:t>
        <w:br/>
        <w:t>Åbo Akademi University, Turku, Finland</w:t>
      </w:r>
    </w:p>
    <w:p>
      <w:pPr>
        <w:jc w:val="center"/>
      </w:pPr>
      <w:r>
        <w:rPr>
          <w:i/>
        </w:rPr>
        <w:t>Repository placeholder: https://github.com/YOUR_GITHUB_USERNAME/NMRMetaboWizard</w:t>
        <w:br/>
        <w:t>Documentation placeholder: https://nmrmetabowizard.readthedocs.io</w:t>
      </w:r>
    </w:p>
    <w:p>
      <w:r>
        <w:t>This document is intended as journal supplementary information and as a printable companion to the online user documentation. Replace all URL, DOI, ORCID, version, and licensing placeholders before submission.</w:t>
      </w:r>
    </w:p>
    <w:p>
      <w:r>
        <w:br w:type="page"/>
      </w:r>
    </w:p>
    <w:p>
      <w:pPr>
        <w:pStyle w:val="Heading1"/>
      </w:pPr>
      <w:r>
        <w:t>1. Software overview</w:t>
      </w:r>
    </w:p>
    <w:p>
      <w:r>
        <w:t>NMRMetaboWizard is an interactive Shiny for Python application for the stepwise preprocessing and analysis of one-dimensional Bruker 1H NMR metabolomics data. The software integrates raw FID handling, spectral preprocessing, clinical metadata alignment, exploratory analysis, outlier screening, and machine-learning evaluation in one auditable interface.</w:t>
      </w:r>
    </w:p>
    <w:p>
      <w:r>
        <w:t>The application is intended for research and education. It is not a validated clinical diagnostic system or medical device. Biological and clinical conclusions require appropriate validation, quality control, statistical expertise, and domain review.</w:t>
      </w:r>
    </w:p>
    <w:p>
      <w:pPr>
        <w:pStyle w:val="Heading2"/>
      </w:pPr>
      <w:r>
        <w:t>1.1 Core design principles</w:t>
      </w:r>
    </w:p>
    <w:p>
      <w:pPr>
        <w:pStyle w:val="ListBullet"/>
      </w:pPr>
      <w:r>
        <w:t>Stepwise inspection of raw and processed signals.</w:t>
      </w:r>
    </w:p>
    <w:p>
      <w:pPr>
        <w:pStyle w:val="ListBullet"/>
      </w:pPr>
      <w:r>
        <w:t>Optional processing steps can be applied, adjusted, or skipped.</w:t>
      </w:r>
    </w:p>
    <w:p>
      <w:pPr>
        <w:pStyle w:val="ListBullet"/>
      </w:pPr>
      <w:r>
        <w:t>Spectral features, class labels, and clinical metadata remain conceptually separate.</w:t>
      </w:r>
    </w:p>
    <w:p>
      <w:pPr>
        <w:pStyle w:val="ListBullet"/>
      </w:pPr>
      <w:r>
        <w:t>Interactive plots support zooming, panning, and export of the plotted data.</w:t>
      </w:r>
    </w:p>
    <w:p>
      <w:pPr>
        <w:pStyle w:val="ListBullet"/>
      </w:pPr>
      <w:r>
        <w:t>Outliers are flagged for review rather than removed automatically.</w:t>
      </w:r>
    </w:p>
    <w:p>
      <w:pPr>
        <w:pStyle w:val="ListBullet"/>
      </w:pPr>
      <w:r>
        <w:t>Imputation, scaling, and optional PCA are fitted inside the ML pipeline.</w:t>
      </w:r>
    </w:p>
    <w:p>
      <w:pPr>
        <w:pStyle w:val="ListBullet"/>
      </w:pPr>
      <w:r>
        <w:t>Processing parameters and ML runs can be downloaded for reproducibility.</w:t>
      </w:r>
    </w:p>
    <w:p>
      <w:pPr>
        <w:pStyle w:val="Heading2"/>
      </w:pPr>
      <w:r>
        <w:t>1.2 Software architecture</w:t>
      </w:r>
    </w:p>
    <w:p>
      <w:r>
        <w:t>The user interface and reactive workflow are implemented in app.py. Scientific NMR-processing functions are implemented in nmr_pipeline.py, whereas metadata alignment, EDA, outlier detection, and machine learning are implemented in clinical_analysis.py. This separation enables testing of scientific functions independently of the user interface.</w:t>
      </w:r>
    </w:p>
    <w:p>
      <w:pPr>
        <w:pStyle w:val="Heading1"/>
      </w:pPr>
      <w:r>
        <w:t>2. Availability, license, and versioning</w:t>
      </w:r>
    </w:p>
    <w:p>
      <w:r>
        <w:t>Before manuscript submission, the source code should be published in a public GitHub repository or made available through confidential reviewer access. A tagged release corresponding exactly to the manuscript should be archived with Zenodo to obtain a permanent DOI.</w:t>
      </w:r>
    </w:p>
    <w:p>
      <w:pPr>
        <w:pStyle w:val="ListBullet"/>
      </w:pPr>
      <w:r>
        <w:t>Proposed repository: https://github.com/YOUR_GITHUB_USERNAME/NMRMetaboWizard</w:t>
      </w:r>
    </w:p>
    <w:p>
      <w:pPr>
        <w:pStyle w:val="ListBullet"/>
      </w:pPr>
      <w:r>
        <w:t>Proposed documentation: https://nmrmetabowizard.readthedocs.io</w:t>
      </w:r>
    </w:p>
    <w:p>
      <w:pPr>
        <w:pStyle w:val="ListBullet"/>
      </w:pPr>
      <w:r>
        <w:t>Release tag: v0.1.0</w:t>
      </w:r>
    </w:p>
    <w:p>
      <w:pPr>
        <w:pStyle w:val="ListBullet"/>
      </w:pPr>
      <w:r>
        <w:t>Archived DOI: replace with the final Zenodo DOI</w:t>
      </w:r>
    </w:p>
    <w:p>
      <w:pPr>
        <w:pStyle w:val="ListBullet"/>
      </w:pPr>
      <w:r>
        <w:t>Proposed license: MIT, subject to institutional confirmation</w:t>
      </w:r>
    </w:p>
    <w:p>
      <w:r>
        <w:t>The repository includes CITATION.cff, CITATION.bib, a changelog, contribution guidance, security and privacy guidance, automated tests, continuous-integration workflows, and Read the Docs configuration.</w:t>
      </w:r>
    </w:p>
    <w:p>
      <w:pPr>
        <w:pStyle w:val="Heading1"/>
      </w:pPr>
      <w:r>
        <w:t>3. Installation and execution</w:t>
      </w:r>
    </w:p>
    <w:p>
      <w:pPr>
        <w:pStyle w:val="Heading2"/>
      </w:pPr>
      <w:r>
        <w:t>3.1 System requirements</w:t>
      </w:r>
    </w:p>
    <w:p>
      <w:pPr>
        <w:pStyle w:val="ListBullet"/>
      </w:pPr>
      <w:r>
        <w:t>Python 3.10 or newer.</w:t>
      </w:r>
    </w:p>
    <w:p>
      <w:pPr>
        <w:pStyle w:val="ListBullet"/>
      </w:pPr>
      <w:r>
        <w:t>Windows, macOS, or Linux.</w:t>
      </w:r>
    </w:p>
    <w:p>
      <w:pPr>
        <w:pStyle w:val="ListBullet"/>
      </w:pPr>
      <w:r>
        <w:t>A modern browser; Chrome or Microsoft Edge is recommended.</w:t>
      </w:r>
    </w:p>
    <w:p>
      <w:pPr>
        <w:pStyle w:val="ListBullet"/>
      </w:pPr>
      <w:r>
        <w:t>Sufficient memory for the number and resolution of uploaded spectra.</w:t>
      </w:r>
    </w:p>
    <w:p>
      <w:pPr>
        <w:pStyle w:val="Heading2"/>
      </w:pPr>
      <w:r>
        <w:t>3.2 Windows installation</w:t>
      </w:r>
    </w:p>
    <w:p>
      <w:r>
        <w:rPr>
          <w:rFonts w:ascii="Courier New" w:hAnsi="Courier New"/>
          <w:sz w:val="18"/>
        </w:rPr>
        <w:t>cd /d C:\Users\YOUR_USERNAME\Documents</w:t>
      </w:r>
    </w:p>
    <w:p>
      <w:r>
        <w:rPr>
          <w:rFonts w:ascii="Courier New" w:hAnsi="Courier New"/>
          <w:sz w:val="18"/>
        </w:rPr>
        <w:t>python -m venv NMRMetaboWizard\.venv</w:t>
      </w:r>
    </w:p>
    <w:p>
      <w:r>
        <w:rPr>
          <w:rFonts w:ascii="Courier New" w:hAnsi="Courier New"/>
          <w:sz w:val="18"/>
        </w:rPr>
        <w:t>NMRMetaboWizard\.venv\Scripts\activate.bat</w:t>
      </w:r>
    </w:p>
    <w:p>
      <w:r>
        <w:rPr>
          <w:rFonts w:ascii="Courier New" w:hAnsi="Courier New"/>
          <w:sz w:val="18"/>
        </w:rPr>
        <w:t>cd NMRMetaboWizard</w:t>
      </w:r>
    </w:p>
    <w:p>
      <w:r>
        <w:rPr>
          <w:rFonts w:ascii="Courier New" w:hAnsi="Courier New"/>
          <w:sz w:val="18"/>
        </w:rPr>
        <w:t>python -m pip install --upgrade pip</w:t>
      </w:r>
    </w:p>
    <w:p>
      <w:r>
        <w:rPr>
          <w:rFonts w:ascii="Courier New" w:hAnsi="Courier New"/>
          <w:sz w:val="18"/>
        </w:rPr>
        <w:t>python -m pip install -r requirements.txt</w:t>
      </w:r>
    </w:p>
    <w:p>
      <w:pPr>
        <w:pStyle w:val="Heading2"/>
      </w:pPr>
      <w:r>
        <w:t>3.3 Starting the application</w:t>
      </w:r>
    </w:p>
    <w:p>
      <w:r>
        <w:rPr>
          <w:rFonts w:ascii="Courier New" w:hAnsi="Courier New"/>
          <w:sz w:val="18"/>
        </w:rPr>
        <w:t>python -m shiny run --reload --launch-browser app.py</w:t>
      </w:r>
    </w:p>
    <w:p>
      <w:pPr>
        <w:pStyle w:val="Heading2"/>
      </w:pPr>
      <w:r>
        <w:t>3.4 Docker execution</w:t>
      </w:r>
    </w:p>
    <w:p>
      <w:r>
        <w:rPr>
          <w:rFonts w:ascii="Courier New" w:hAnsi="Courier New"/>
          <w:sz w:val="18"/>
        </w:rPr>
        <w:t>docker compose up --build</w:t>
      </w:r>
    </w:p>
    <w:p>
      <w:pPr>
        <w:pStyle w:val="Heading1"/>
      </w:pPr>
      <w:r>
        <w:t>4. Input-data requirements</w:t>
      </w:r>
    </w:p>
    <w:p>
      <w:pPr>
        <w:pStyle w:val="Heading2"/>
      </w:pPr>
      <w:r>
        <w:t>4.1 Bruker NMR archive</w:t>
      </w:r>
    </w:p>
    <w:p>
      <w:r>
        <w:t>The uploaded ZIP archive is scanned recursively for directories containing both fid and acqus. Acquisition parameters are read from acqus and used to decode the FID byte order and numeric data type. Alternating real and imaginary values are combined to form the complex FID.</w:t>
      </w:r>
    </w:p>
    <w:p>
      <w:r>
        <w:t>For common Bruker structures in which the experiment directory is numeric, the parent folder is treated as the biological sample identifier. Folder names therefore become study_id values and must match the clinical table.</w:t>
      </w:r>
    </w:p>
    <w:p>
      <w:r>
        <w:rPr>
          <w:rFonts w:ascii="Courier New" w:hAnsi="Courier New"/>
          <w:sz w:val="18"/>
        </w:rPr>
        <w:t>Recommended structure:</w:t>
        <w:br/>
        <w:t>study_id_001/</w:t>
        <w:br/>
        <w:t xml:space="preserve">  1/</w:t>
        <w:br/>
        <w:t xml:space="preserve">    fid</w:t>
        <w:br/>
        <w:t xml:space="preserve">    acqus</w:t>
      </w:r>
    </w:p>
    <w:p>
      <w:r>
        <w:t>Diagnostic or dummy acquisition directories, commonly named 99999, should be removed before creating the ZIP because they can resemble ordinary experiments but do not represent biological samples.</w:t>
      </w:r>
    </w:p>
    <w:p>
      <w:pPr>
        <w:pStyle w:val="Heading2"/>
      </w:pPr>
      <w:r>
        <w:t>4.2 Clinical metadata</w:t>
      </w:r>
    </w:p>
    <w:p>
      <w:r>
        <w:t>Clinical data can be uploaded as CSV, TSV, TXT, XLSX, or XLS. The table must contain study_id and Class columns unless alternative column names are explicitly entered in the app. Additional numeric or categorical variables may be included for visualization, correlation, stratification, or prediction.</w:t>
      </w:r>
    </w:p>
    <w:p>
      <w:pPr>
        <w:pStyle w:val="ListBullet"/>
      </w:pPr>
      <w:r>
        <w:t>study_id: identifier matching the NMR folder/sample name.</w:t>
      </w:r>
    </w:p>
    <w:p>
      <w:pPr>
        <w:pStyle w:val="ListBullet"/>
      </w:pPr>
      <w:r>
        <w:t>Class: cohort or outcome label.</w:t>
      </w:r>
    </w:p>
    <w:p>
      <w:pPr>
        <w:pStyle w:val="ListBullet"/>
      </w:pPr>
      <w:r>
        <w:t>Optional examples: age, PSA, creatinine, prostate volume, height, weight, or Gleason score.</w:t>
      </w:r>
    </w:p>
    <w:p>
      <w:r>
        <w:t>Only coded, de-identified data should be used in a public deployment. Variables that are consequences of the target outcome should not be used as predictors when doing so would introduce information leakage.</w:t>
      </w:r>
    </w:p>
    <w:p>
      <w:pPr>
        <w:pStyle w:val="Heading1"/>
      </w:pPr>
      <w:r>
        <w:t>5. Stepwise preprocessing</w:t>
      </w:r>
    </w:p>
    <w:p>
      <w:r>
        <w:t>All processing calculations use the full arrays. Display downsampling is used only to keep browser plots responsive and preserves local minima and maxima to reduce visual loss of sharp peaks.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Step</w:t>
            </w:r>
          </w:p>
        </w:tc>
        <w:tc>
          <w:tcPr>
            <w:tcW w:type="dxa" w:w="3360"/>
            <w:vAlign w:val="center"/>
          </w:tcPr>
          <w:p>
            <w:r>
              <w:rPr>
                <w:b/>
              </w:rPr>
              <w:t>Default</w:t>
            </w:r>
          </w:p>
        </w:tc>
        <w:tc>
          <w:tcPr>
            <w:tcW w:type="dxa" w:w="3360"/>
            <w:vAlign w:val="center"/>
          </w:tcPr>
          <w:p>
            <w:r>
              <w:rPr>
                <w:b/>
              </w:rPr>
              <w:t>Implementation note</w:t>
            </w:r>
          </w:p>
        </w:tc>
      </w:tr>
      <w:tr>
        <w:tc>
          <w:tcPr>
            <w:tcW w:type="dxa" w:w="3360"/>
            <w:vAlign w:val="center"/>
          </w:tcPr>
          <w:p>
            <w:r>
              <w:t>Group delay</w:t>
            </w:r>
          </w:p>
        </w:tc>
        <w:tc>
          <w:tcPr>
            <w:tcW w:type="dxa" w:w="3360"/>
            <w:vAlign w:val="center"/>
          </w:tcPr>
          <w:p>
            <w:r>
              <w:t>-1</w:t>
            </w:r>
          </w:p>
        </w:tc>
        <w:tc>
          <w:tcPr>
            <w:tcW w:type="dxa" w:w="3360"/>
            <w:vAlign w:val="center"/>
          </w:tcPr>
          <w:p>
            <w:r>
              <w:t>Use GRPDLY; manual override or skip available</w:t>
            </w:r>
          </w:p>
        </w:tc>
      </w:tr>
      <w:tr>
        <w:tc>
          <w:tcPr>
            <w:tcW w:type="dxa" w:w="3360"/>
            <w:vAlign w:val="center"/>
          </w:tcPr>
          <w:p>
            <w:r>
              <w:t>Solvent residual suppression</w:t>
            </w:r>
          </w:p>
        </w:tc>
        <w:tc>
          <w:tcPr>
            <w:tcW w:type="dxa" w:w="3360"/>
            <w:vAlign w:val="center"/>
          </w:tcPr>
          <w:p>
            <w:r>
              <w:t>Enabled; λ = 1×10⁶</w:t>
            </w:r>
          </w:p>
        </w:tc>
        <w:tc>
          <w:tcPr>
            <w:tcW w:type="dxa" w:w="3360"/>
            <w:vAlign w:val="center"/>
          </w:tcPr>
          <w:p>
            <w:r>
              <w:t>FID-domain penalized smoothing</w:t>
            </w:r>
          </w:p>
        </w:tc>
      </w:tr>
      <w:tr>
        <w:tc>
          <w:tcPr>
            <w:tcW w:type="dxa" w:w="3360"/>
            <w:vAlign w:val="center"/>
          </w:tcPr>
          <w:p>
            <w:r>
              <w:t>Apodization</w:t>
            </w:r>
          </w:p>
        </w:tc>
        <w:tc>
          <w:tcPr>
            <w:tcW w:type="dxa" w:w="3360"/>
            <w:vAlign w:val="center"/>
          </w:tcPr>
          <w:p>
            <w:r>
              <w:t>Exponential; LB = 1.0</w:t>
            </w:r>
          </w:p>
        </w:tc>
        <w:tc>
          <w:tcPr>
            <w:tcW w:type="dxa" w:w="3360"/>
            <w:vAlign w:val="center"/>
          </w:tcPr>
          <w:p>
            <w:r>
              <w:t>Gaussian is available</w:t>
            </w:r>
          </w:p>
        </w:tc>
      </w:tr>
      <w:tr>
        <w:tc>
          <w:tcPr>
            <w:tcW w:type="dxa" w:w="3360"/>
            <w:vAlign w:val="center"/>
          </w:tcPr>
          <w:p>
            <w:r>
              <w:t>Zero filling</w:t>
            </w:r>
          </w:p>
        </w:tc>
        <w:tc>
          <w:tcPr>
            <w:tcW w:type="dxa" w:w="3360"/>
            <w:vAlign w:val="center"/>
          </w:tcPr>
          <w:p>
            <w:r>
              <w:t>32768 additional points</w:t>
            </w:r>
          </w:p>
        </w:tc>
        <w:tc>
          <w:tcPr>
            <w:tcW w:type="dxa" w:w="3360"/>
            <w:vAlign w:val="center"/>
          </w:tcPr>
          <w:p>
            <w:r>
              <w:t>Optional</w:t>
            </w:r>
          </w:p>
        </w:tc>
      </w:tr>
      <w:tr>
        <w:tc>
          <w:tcPr>
            <w:tcW w:type="dxa" w:w="3360"/>
            <w:vAlign w:val="center"/>
          </w:tcPr>
          <w:p>
            <w:r>
              <w:t>Fourier transformation</w:t>
            </w:r>
          </w:p>
        </w:tc>
        <w:tc>
          <w:tcPr>
            <w:tcW w:type="dxa" w:w="3360"/>
            <w:vAlign w:val="center"/>
          </w:tcPr>
          <w:p>
            <w:r>
              <w:t>Required</w:t>
            </w:r>
          </w:p>
        </w:tc>
        <w:tc>
          <w:tcPr>
            <w:tcW w:type="dxa" w:w="3360"/>
            <w:vAlign w:val="center"/>
          </w:tcPr>
          <w:p>
            <w:r>
              <w:t>FFT and FFT-shift</w:t>
            </w:r>
          </w:p>
        </w:tc>
      </w:tr>
      <w:tr>
        <w:tc>
          <w:tcPr>
            <w:tcW w:type="dxa" w:w="3360"/>
            <w:vAlign w:val="center"/>
          </w:tcPr>
          <w:p>
            <w:r>
              <w:t>Phase correction</w:t>
            </w:r>
          </w:p>
        </w:tc>
        <w:tc>
          <w:tcPr>
            <w:tcW w:type="dxa" w:w="3360"/>
            <w:vAlign w:val="center"/>
          </w:tcPr>
          <w:p>
            <w:r>
              <w:t>Automatic zero-order</w:t>
            </w:r>
          </w:p>
        </w:tc>
        <w:tc>
          <w:tcPr>
            <w:tcW w:type="dxa" w:w="3360"/>
            <w:vAlign w:val="center"/>
          </w:tcPr>
          <w:p>
            <w:r>
              <w:t>Manual or skip available</w:t>
            </w:r>
          </w:p>
        </w:tc>
      </w:tr>
      <w:tr>
        <w:tc>
          <w:tcPr>
            <w:tcW w:type="dxa" w:w="3360"/>
            <w:vAlign w:val="center"/>
          </w:tcPr>
          <w:p>
            <w:r>
              <w:t>Referencing</w:t>
            </w:r>
          </w:p>
        </w:tc>
        <w:tc>
          <w:tcPr>
            <w:tcW w:type="dxa" w:w="3360"/>
            <w:vAlign w:val="center"/>
          </w:tcPr>
          <w:p>
            <w:r>
              <w:t>0 ppm; search −0.2 to 0.2 ppm</w:t>
            </w:r>
          </w:p>
        </w:tc>
        <w:tc>
          <w:tcPr>
            <w:tcW w:type="dxa" w:w="3360"/>
            <w:vAlign w:val="center"/>
          </w:tcPr>
          <w:p>
            <w:r>
              <w:t>Optional</w:t>
            </w:r>
          </w:p>
        </w:tc>
      </w:tr>
      <w:tr>
        <w:tc>
          <w:tcPr>
            <w:tcW w:type="dxa" w:w="3360"/>
            <w:vAlign w:val="center"/>
          </w:tcPr>
          <w:p>
            <w:r>
              <w:t>Baseline</w:t>
            </w:r>
          </w:p>
        </w:tc>
        <w:tc>
          <w:tcPr>
            <w:tcW w:type="dxa" w:w="3360"/>
            <w:vAlign w:val="center"/>
          </w:tcPr>
          <w:p>
            <w:r>
              <w:t>ALS; λ = 1×10⁶; p = 0.01</w:t>
            </w:r>
          </w:p>
        </w:tc>
        <w:tc>
          <w:tcPr>
            <w:tcW w:type="dxa" w:w="3360"/>
            <w:vAlign w:val="center"/>
          </w:tcPr>
          <w:p>
            <w:r>
              <w:t>arPLS and airPLS available</w:t>
            </w:r>
          </w:p>
        </w:tc>
      </w:tr>
      <w:tr>
        <w:tc>
          <w:tcPr>
            <w:tcW w:type="dxa" w:w="3360"/>
            <w:vAlign w:val="center"/>
          </w:tcPr>
          <w:p>
            <w:r>
              <w:t>Alignment</w:t>
            </w:r>
          </w:p>
        </w:tc>
        <w:tc>
          <w:tcPr>
            <w:tcW w:type="dxa" w:w="3360"/>
            <w:vAlign w:val="center"/>
          </w:tcPr>
          <w:p>
            <w:r>
              <w:t>Disabled</w:t>
            </w:r>
          </w:p>
        </w:tc>
        <w:tc>
          <w:tcPr>
            <w:tcW w:type="dxa" w:w="3360"/>
            <w:vAlign w:val="center"/>
          </w:tcPr>
          <w:p>
            <w:r>
              <w:t>Global integer cross-correlation shift</w:t>
            </w:r>
          </w:p>
        </w:tc>
      </w:tr>
      <w:tr>
        <w:tc>
          <w:tcPr>
            <w:tcW w:type="dxa" w:w="3360"/>
            <w:vAlign w:val="center"/>
          </w:tcPr>
          <w:p>
            <w:r>
              <w:t>Negative-value zeroing</w:t>
            </w:r>
          </w:p>
        </w:tc>
        <w:tc>
          <w:tcPr>
            <w:tcW w:type="dxa" w:w="3360"/>
            <w:vAlign w:val="center"/>
          </w:tcPr>
          <w:p>
            <w:r>
              <w:t>Enabled</w:t>
            </w:r>
          </w:p>
        </w:tc>
        <w:tc>
          <w:tcPr>
            <w:tcW w:type="dxa" w:w="3360"/>
            <w:vAlign w:val="center"/>
          </w:tcPr>
          <w:p>
            <w:r>
              <w:t>Optional through checkbox</w:t>
            </w:r>
          </w:p>
        </w:tc>
      </w:tr>
      <w:tr>
        <w:tc>
          <w:tcPr>
            <w:tcW w:type="dxa" w:w="3360"/>
            <w:vAlign w:val="center"/>
          </w:tcPr>
          <w:p>
            <w:r>
              <w:t>Window</w:t>
            </w:r>
          </w:p>
        </w:tc>
        <w:tc>
          <w:tcPr>
            <w:tcW w:type="dxa" w:w="3360"/>
            <w:vAlign w:val="center"/>
          </w:tcPr>
          <w:p>
            <w:r>
              <w:t>0.2–10 ppm</w:t>
            </w:r>
          </w:p>
        </w:tc>
        <w:tc>
          <w:tcPr>
            <w:tcW w:type="dxa" w:w="3360"/>
            <w:vAlign w:val="center"/>
          </w:tcPr>
          <w:p>
            <w:r>
              <w:t>Can retain full range</w:t>
            </w:r>
          </w:p>
        </w:tc>
      </w:tr>
      <w:tr>
        <w:tc>
          <w:tcPr>
            <w:tcW w:type="dxa" w:w="3360"/>
            <w:vAlign w:val="center"/>
          </w:tcPr>
          <w:p>
            <w:r>
              <w:t>Region removal</w:t>
            </w:r>
          </w:p>
        </w:tc>
        <w:tc>
          <w:tcPr>
            <w:tcW w:type="dxa" w:w="3360"/>
            <w:vAlign w:val="center"/>
          </w:tcPr>
          <w:p>
            <w:r>
              <w:t>4.5–6.1 ppm; zero</w:t>
            </w:r>
          </w:p>
        </w:tc>
        <w:tc>
          <w:tcPr>
            <w:tcW w:type="dxa" w:w="3360"/>
            <w:vAlign w:val="center"/>
          </w:tcPr>
          <w:p>
            <w:r>
              <w:t>Urine-focused default</w:t>
            </w:r>
          </w:p>
        </w:tc>
      </w:tr>
      <w:tr>
        <w:tc>
          <w:tcPr>
            <w:tcW w:type="dxa" w:w="3360"/>
            <w:vAlign w:val="center"/>
          </w:tcPr>
          <w:p>
            <w:r>
              <w:t>Binning</w:t>
            </w:r>
          </w:p>
        </w:tc>
        <w:tc>
          <w:tcPr>
            <w:tcW w:type="dxa" w:w="3360"/>
            <w:vAlign w:val="center"/>
          </w:tcPr>
          <w:p>
            <w:r>
              <w:t>0.01 ppm; trapezoidal</w:t>
            </w:r>
          </w:p>
        </w:tc>
        <w:tc>
          <w:tcPr>
            <w:tcW w:type="dxa" w:w="3360"/>
            <w:vAlign w:val="center"/>
          </w:tcPr>
          <w:p>
            <w:r>
              <w:t>Width/count and rectangular options</w:t>
            </w:r>
          </w:p>
        </w:tc>
      </w:tr>
      <w:tr>
        <w:tc>
          <w:tcPr>
            <w:tcW w:type="dxa" w:w="3360"/>
            <w:vAlign w:val="center"/>
          </w:tcPr>
          <w:p>
            <w:r>
              <w:t>Normalization</w:t>
            </w:r>
          </w:p>
        </w:tc>
        <w:tc>
          <w:tcPr>
            <w:tcW w:type="dxa" w:w="3360"/>
            <w:vAlign w:val="center"/>
          </w:tcPr>
          <w:p>
            <w:r>
              <w:t>PQN</w:t>
            </w:r>
          </w:p>
        </w:tc>
        <w:tc>
          <w:tcPr>
            <w:tcW w:type="dxa" w:w="3360"/>
            <w:vAlign w:val="center"/>
          </w:tcPr>
          <w:p>
            <w:r>
              <w:t>Total area, SNV, or none</w:t>
            </w:r>
          </w:p>
        </w:tc>
      </w:tr>
    </w:tbl>
    <w:p>
      <w:pPr>
        <w:pStyle w:val="Heading2"/>
      </w:pPr>
      <w:r>
        <w:t>5.1 Group delay and solvent residuals</w:t>
      </w:r>
    </w:p>
    <w:p>
      <w:r>
        <w:t>Group-delay correction removes the initial complex points specified by Bruker GRPDLY or a user override. The optional solvent-residual procedure estimates a smooth real and imaginary FID component using a Whittaker-type penalized smoother with second-order differences and subtracts it from the FID.</w:t>
      </w:r>
    </w:p>
    <w:p>
      <w:pPr>
        <w:pStyle w:val="Heading2"/>
      </w:pPr>
      <w:r>
        <w:t>5.2 Apodization, zero filling, and Fourier transformation</w:t>
      </w:r>
    </w:p>
    <w:p>
      <w:r>
        <w:t>Exponential or Gaussian windows are applied to the complex FID. Zero filling appends complex zeros before the FFT. Fourier transformation is followed by FFT-shift reordering, and the ppm axis is calculated from SW_h, O1, and SFO1.</w:t>
      </w:r>
    </w:p>
    <w:p>
      <w:pPr>
        <w:pStyle w:val="Heading2"/>
      </w:pPr>
      <w:r>
        <w:t>5.3 Phase, referencing, baseline, and alignment</w:t>
      </w:r>
    </w:p>
    <w:p>
      <w:r>
        <w:t>Automatic phasing estimates a separate zero-order phase angle for each spectrum. Referencing shifts the ppm axis according to the strongest peak in the selected interval. Baseline methods include ALS, arPLS, and airPLS. The alignment implementation is a global integer shift selected by cross-correlation in one ppm window; it is not a full icoshift implementation.</w:t>
      </w:r>
    </w:p>
    <w:p>
      <w:pPr>
        <w:pStyle w:val="Heading2"/>
      </w:pPr>
      <w:r>
        <w:t>5.4 Region removal, binning, and normalization</w:t>
      </w:r>
    </w:p>
    <w:p>
      <w:r>
        <w:t>After windowing and optional negative-value zeroing, user-selected regions can be set to zero or interpolated. Binning integrates each interval using the trapezoidal or rectangular method. PQN, total-area, SNV, or no normalization can then be applied to the sample-by-bin matrix.</w:t>
      </w:r>
    </w:p>
    <w:p>
      <w:pPr>
        <w:pStyle w:val="Heading1"/>
      </w:pPr>
      <w:r>
        <w:t>6. Clinical metadata alignment</w:t>
      </w:r>
    </w:p>
    <w:p>
      <w:r>
        <w:t>The aligned analysis object contains the NMR matrix X, the class labels y, and the clinical metadata in the same sample order. Clinical variables do not automatically become predictors. The user explicitly selects NMR-only, clinical-only, NMR plus clinical, or PSA-only modelling.</w:t>
      </w:r>
    </w:p>
    <w:p>
      <w:r>
        <w:t>The app reports matched and unmatched identifiers, duplicate clinical IDs, the number of samples with non-empty class labels, and the resulting feature count. Users should resolve unexpected mismatches before EDA.</w:t>
      </w:r>
    </w:p>
    <w:p>
      <w:pPr>
        <w:pStyle w:val="Heading1"/>
      </w:pPr>
      <w:r>
        <w:t>7. Exploratory analysis</w:t>
      </w:r>
    </w:p>
    <w:p>
      <w:pPr>
        <w:pStyle w:val="Heading2"/>
      </w:pPr>
      <w:r>
        <w:t>7.1 PCA and PCA loadings</w:t>
      </w:r>
    </w:p>
    <w:p>
      <w:r>
        <w:t>PCA is fitted after median imputation and standardization of the NMR bins. The app displays selectable 2D and 3D score combinations, explained variance, and loading bar plots for one or more PCs. Loadings identify contributing bins but do not provide metabolite identification.</w:t>
      </w:r>
    </w:p>
    <w:p>
      <w:pPr>
        <w:pStyle w:val="Heading2"/>
      </w:pPr>
      <w:r>
        <w:t>7.2 PLS-DA</w:t>
      </w:r>
    </w:p>
    <w:p>
      <w:r>
        <w:t>PLS-DA uses one-hot encoded class labels and scikit-learn PLSRegression. Its score plots are intended for exploratory visualization. The displayed approximate X-variance values are not directly equivalent to PCA explained variance.</w:t>
      </w:r>
    </w:p>
    <w:p>
      <w:pPr>
        <w:pStyle w:val="Heading2"/>
      </w:pPr>
      <w:r>
        <w:t>7.3 Clinical and univariate analyses</w:t>
      </w:r>
    </w:p>
    <w:p>
      <w:r>
        <w:t>The score-color menu is populated from aligned clinical metadata. Numeric variables use continuous scales and categorical variables use discrete traces. The app also reports class counts, Welch t-tests or one-way ANOVA, clinical Spearman correlations, and clinical-bin Spearman correlations. Raw p-values should be corrected for multiple testing before confirmatory use.</w:t>
      </w:r>
    </w:p>
    <w:p>
      <w:pPr>
        <w:pStyle w:val="Heading1"/>
      </w:pPr>
      <w:r>
        <w:t>8. Outlier screening</w:t>
      </w:r>
    </w:p>
    <w:p>
      <w:r>
        <w:t>Possible outliers can be screened using Hotelling's T² or a robust PCA distance. Limits can be calculated globally or separately within each Class cohort. Groupwise screening is useful when cohorts are biologically shifted, because a global center may otherwise label a valid cohort as unusual.</w:t>
      </w:r>
    </w:p>
    <w:p>
      <w:pPr>
        <w:pStyle w:val="ListNumber"/>
      </w:pPr>
      <w:r>
        <w:t>Run initial EDA.</w:t>
      </w:r>
    </w:p>
    <w:p>
      <w:pPr>
        <w:pStyle w:val="ListNumber"/>
      </w:pPr>
      <w:r>
        <w:t>Detect possible outliers.</w:t>
      </w:r>
    </w:p>
    <w:p>
      <w:pPr>
        <w:pStyle w:val="ListNumber"/>
      </w:pPr>
      <w:r>
        <w:t>Inspect cohort-specific plots and the outlier table.</w:t>
      </w:r>
    </w:p>
    <w:p>
      <w:pPr>
        <w:pStyle w:val="ListNumber"/>
      </w:pPr>
      <w:r>
        <w:t>Review spectral quality, metadata, and biological plausibility.</w:t>
      </w:r>
    </w:p>
    <w:p>
      <w:pPr>
        <w:pStyle w:val="ListNumber"/>
      </w:pPr>
      <w:r>
        <w:t>Remove flagged samples, enter selected IDs manually, or skip removal.</w:t>
      </w:r>
    </w:p>
    <w:p>
      <w:pPr>
        <w:pStyle w:val="ListNumber"/>
      </w:pPr>
      <w:r>
        <w:t>Rerun EDA and compare the results.</w:t>
      </w:r>
    </w:p>
    <w:p>
      <w:r>
        <w:t>An outlier flag is not evidence that a sample is invalid. Removal decisions should be reported and justified.</w:t>
      </w:r>
    </w:p>
    <w:p>
      <w:pPr>
        <w:pStyle w:val="Heading1"/>
      </w:pPr>
      <w:r>
        <w:t>9. Machine learning</w:t>
      </w:r>
    </w:p>
    <w:p>
      <w:pPr>
        <w:pStyle w:val="Heading2"/>
      </w:pPr>
      <w:r>
        <w:t>9.1 Predictors and classifiers</w:t>
      </w:r>
    </w:p>
    <w:p>
      <w:pPr>
        <w:pStyle w:val="ListBullet"/>
      </w:pPr>
      <w:r>
        <w:t>Predictor sets: NMR only, clinical only, NMR + clinical, or PSA only.</w:t>
      </w:r>
    </w:p>
    <w:p>
      <w:pPr>
        <w:pStyle w:val="ListBullet"/>
      </w:pPr>
      <w:r>
        <w:t>Classifiers: logistic regression, random forest, LinearSVC, and ANN/MLP.</w:t>
      </w:r>
    </w:p>
    <w:p>
      <w:pPr>
        <w:pStyle w:val="ListBullet"/>
      </w:pPr>
      <w:r>
        <w:t>Default test fraction: 0.25.</w:t>
      </w:r>
    </w:p>
    <w:p>
      <w:pPr>
        <w:pStyle w:val="ListBullet"/>
      </w:pPr>
      <w:r>
        <w:t>Default cross-validation: five-fold stratified CV; can be disabled.</w:t>
      </w:r>
    </w:p>
    <w:p>
      <w:pPr>
        <w:pStyle w:val="ListBullet"/>
      </w:pPr>
      <w:r>
        <w:t>Optional PCA within the model pipeline: disabled by default.</w:t>
      </w:r>
    </w:p>
    <w:p>
      <w:pPr>
        <w:pStyle w:val="Heading2"/>
      </w:pPr>
      <w:r>
        <w:t>9.2 Leakage control and reported metrics</w:t>
      </w:r>
    </w:p>
    <w:p>
      <w:r>
        <w:t>Median imputation, standardization, and optional PCA are fitted inside the scikit-learn Pipeline. The app reports train and test accuracy, balanced accuracy, classification reports, confusion matrices, test predictions, cross-validation summaries when enabled, and ROC-AUC when probability outputs are available.</w:t>
      </w:r>
    </w:p>
    <w:p>
      <w:r>
        <w:t>The current linear SVM uses LinearSVC and does not provide calibrated probabilities. Consequently, probability and ROC outputs are not produced for this classifier by the current implementation.</w:t>
      </w:r>
    </w:p>
    <w:p>
      <w:pPr>
        <w:pStyle w:val="Heading2"/>
      </w:pPr>
      <w:r>
        <w:t>9.3 Feature importance</w:t>
      </w:r>
    </w:p>
    <w:p>
      <w:pPr>
        <w:pStyle w:val="ListBullet"/>
      </w:pPr>
      <w:r>
        <w:t>Logistic regression and linear SVM: mean absolute model coefficient.</w:t>
      </w:r>
    </w:p>
    <w:p>
      <w:pPr>
        <w:pStyle w:val="ListBullet"/>
      </w:pPr>
      <w:r>
        <w:t>Random forest: impurity-based feature importance.</w:t>
      </w:r>
    </w:p>
    <w:p>
      <w:pPr>
        <w:pStyle w:val="ListBullet"/>
      </w:pPr>
      <w:r>
        <w:t>ANN: mean absolute first-layer weight, used as an approximate heuristic.</w:t>
      </w:r>
    </w:p>
    <w:p>
      <w:r>
        <w:t>When PCA is enabled, feature importance is produced from a separate model fitted without PCA to retain original variable labels. It should be treated as exploratory rather than as a held-out estimate.</w:t>
      </w:r>
    </w:p>
    <w:p>
      <w:pPr>
        <w:pStyle w:val="Heading1"/>
      </w:pPr>
      <w:r>
        <w:t>10. Output files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w:t>
            </w:r>
          </w:p>
        </w:tc>
        <w:tc>
          <w:tcPr>
            <w:tcW w:type="dxa" w:w="5040"/>
          </w:tcPr>
          <w:p>
            <w:r>
              <w:rPr>
                <w:b/>
              </w:rPr>
              <w:t>Downloadable outputs</w:t>
            </w:r>
          </w:p>
        </w:tc>
      </w:tr>
      <w:tr>
        <w:tc>
          <w:tcPr>
            <w:tcW w:type="dxa" w:w="5040"/>
          </w:tcPr>
          <w:p>
            <w:r>
              <w:t>Preprocessing</w:t>
            </w:r>
          </w:p>
        </w:tc>
        <w:tc>
          <w:tcPr>
            <w:tcW w:type="dxa" w:w="5040"/>
          </w:tcPr>
          <w:p>
            <w:r>
              <w:t>Current plot data CSV; binned matrix; normalized matrix; processing log</w:t>
            </w:r>
          </w:p>
        </w:tc>
      </w:tr>
      <w:tr>
        <w:tc>
          <w:tcPr>
            <w:tcW w:type="dxa" w:w="5040"/>
          </w:tcPr>
          <w:p>
            <w:r>
              <w:t>Clinical alignment</w:t>
            </w:r>
          </w:p>
        </w:tc>
        <w:tc>
          <w:tcPr>
            <w:tcW w:type="dxa" w:w="5040"/>
          </w:tcPr>
          <w:p>
            <w:r>
              <w:t>Aligned sample table and mismatch summary</w:t>
            </w:r>
          </w:p>
        </w:tc>
      </w:tr>
      <w:tr>
        <w:tc>
          <w:tcPr>
            <w:tcW w:type="dxa" w:w="5040"/>
          </w:tcPr>
          <w:p>
            <w:r>
              <w:t>EDA</w:t>
            </w:r>
          </w:p>
        </w:tc>
        <w:tc>
          <w:tcPr>
            <w:tcW w:type="dxa" w:w="5040"/>
          </w:tcPr>
          <w:p>
            <w:r>
              <w:t>Current plot data, PCA variance/loadings, PLS-DA table, tests and correlations</w:t>
            </w:r>
          </w:p>
        </w:tc>
      </w:tr>
      <w:tr>
        <w:tc>
          <w:tcPr>
            <w:tcW w:type="dxa" w:w="5040"/>
          </w:tcPr>
          <w:p>
            <w:r>
              <w:t>Outliers</w:t>
            </w:r>
          </w:p>
        </w:tc>
        <w:tc>
          <w:tcPr>
            <w:tcW w:type="dxa" w:w="5040"/>
          </w:tcPr>
          <w:p>
            <w:r>
              <w:t>Outlier table and reviewed retained/removed sample set</w:t>
            </w:r>
          </w:p>
        </w:tc>
      </w:tr>
      <w:tr>
        <w:tc>
          <w:tcPr>
            <w:tcW w:type="dxa" w:w="5040"/>
          </w:tcPr>
          <w:p>
            <w:r>
              <w:t>Machine learning</w:t>
            </w:r>
          </w:p>
        </w:tc>
        <w:tc>
          <w:tcPr>
            <w:tcW w:type="dxa" w:w="5040"/>
          </w:tcPr>
          <w:p>
            <w:r>
              <w:t>ML plot data, predictions, feature importance, model-performance history</w:t>
            </w:r>
          </w:p>
        </w:tc>
      </w:tr>
    </w:tbl>
    <w:p>
      <w:pPr>
        <w:pStyle w:val="Heading1"/>
      </w:pPr>
      <w:r>
        <w:t>11. Reproducibility and validation</w:t>
      </w:r>
    </w:p>
    <w:p>
      <w:r>
        <w:t>The repository includes a synthetic smoke test that exercises the NMR processing functions, metadata alignment, PCA, PLS-DA, outlier screening, and all four classifiers. GitHub Actions compile the source code, execute the smoke test, and build the documentation.</w:t>
      </w:r>
    </w:p>
    <w:p>
      <w:r>
        <w:t>Automated software tests do not establish biological validity. Journal submission should additionally include comparison with a trusted workflow, representative spectral quality-control plots, parameter sensitivity, explicit leakage controls, and independent or nested model validation.</w:t>
      </w:r>
    </w:p>
    <w:p>
      <w:pPr>
        <w:pStyle w:val="Heading1"/>
      </w:pPr>
      <w:r>
        <w:t>12. Known limitations</w:t>
      </w:r>
    </w:p>
    <w:p>
      <w:pPr>
        <w:pStyle w:val="ListBullet"/>
      </w:pPr>
      <w:r>
        <w:t>Only Bruker fid/acqus input is directly supported.</w:t>
      </w:r>
    </w:p>
    <w:p>
      <w:pPr>
        <w:pStyle w:val="ListBullet"/>
      </w:pPr>
      <w:r>
        <w:t>Dummy folders such as 99999 are not automatically excluded.</w:t>
      </w:r>
    </w:p>
    <w:p>
      <w:pPr>
        <w:pStyle w:val="ListBullet"/>
      </w:pPr>
      <w:r>
        <w:t>Automatic phasing is zero-order only.</w:t>
      </w:r>
    </w:p>
    <w:p>
      <w:pPr>
        <w:pStyle w:val="ListBullet"/>
      </w:pPr>
      <w:r>
        <w:t>Alignment is a simple global integer shift, not local warping or full icoshift.</w:t>
      </w:r>
    </w:p>
    <w:p>
      <w:pPr>
        <w:pStyle w:val="ListBullet"/>
      </w:pPr>
      <w:r>
        <w:t>PLS-DA permutation testing is not currently implemented.</w:t>
      </w:r>
    </w:p>
    <w:p>
      <w:pPr>
        <w:pStyle w:val="ListBullet"/>
      </w:pPr>
      <w:r>
        <w:t>Univariate p-values are not automatically FDR-adjusted.</w:t>
      </w:r>
    </w:p>
    <w:p>
      <w:pPr>
        <w:pStyle w:val="ListBullet"/>
      </w:pPr>
      <w:r>
        <w:t>Linear SVM probability calibration is not implemented.</w:t>
      </w:r>
    </w:p>
    <w:p>
      <w:pPr>
        <w:pStyle w:val="ListBullet"/>
      </w:pPr>
      <w:r>
        <w:t>ANN importance is heuristic.</w:t>
      </w:r>
    </w:p>
    <w:p>
      <w:pPr>
        <w:pStyle w:val="ListBullet"/>
      </w:pPr>
      <w:r>
        <w:t>Cross-validation is not nested hyperparameter optimization.</w:t>
      </w:r>
    </w:p>
    <w:p>
      <w:pPr>
        <w:pStyle w:val="ListBullet"/>
      </w:pPr>
      <w:r>
        <w:t>The app does not perform metabolite identification.</w:t>
      </w:r>
    </w:p>
    <w:p>
      <w:pPr>
        <w:pStyle w:val="ListBullet"/>
      </w:pPr>
      <w:r>
        <w:t>The app is not validated for clinical decision-making.</w:t>
      </w:r>
    </w:p>
    <w:p>
      <w:pPr>
        <w:pStyle w:val="ListBullet"/>
      </w:pPr>
      <w:r>
        <w:t>Session history must be downloaded before the app is restarted.</w:t>
      </w:r>
    </w:p>
    <w:p>
      <w:pPr>
        <w:pStyle w:val="Heading1"/>
      </w:pPr>
      <w:r>
        <w:t>13. Privacy and data governance</w:t>
      </w:r>
    </w:p>
    <w:p>
      <w:r>
        <w:t>The public repository must not contain identifiable patient data, real clinical spreadsheets, private raw FIDs, access credentials, or restricted results. A robust .gitignore is included, but git status and the complete repository history must be reviewed before public release.</w:t>
      </w:r>
    </w:p>
    <w:p>
      <w:r>
        <w:t>The current app extracts uploaded ZIP files to an operating-system temporary directory. Secure deployments should configure access control, cleanup, retention, logging, and backup according to institutional requirements.</w:t>
      </w:r>
    </w:p>
    <w:p>
      <w:pPr>
        <w:pStyle w:val="Heading1"/>
      </w:pPr>
      <w:r>
        <w:t>14. Manuscript-ready statements</w:t>
      </w:r>
    </w:p>
    <w:p>
      <w:pPr>
        <w:pStyle w:val="Heading2"/>
      </w:pPr>
      <w:r>
        <w:t>14.1 Availability and implementation</w:t>
      </w:r>
    </w:p>
    <w:p>
      <w:r>
        <w:t>NMRMetaboWizard is implemented in Python using Shiny for Python, Plotly, NumPy, pandas, SciPy, scikit-learn, Matplotlib, openpyxl, and shinywidgets. Source code is available under the MIT License at https://github.com/YOUR_GITHUB_USERNAME/NMRMetaboWizard. User documentation is available at https://nmrmetabowizard.readthedocs.io. The version used in this study is archived at https://doi.org/10.5281/zenodo.REPLACE_WITH_RECORD. The software requires Python 3.10 or newer.</w:t>
      </w:r>
    </w:p>
    <w:p>
      <w:pPr>
        <w:pStyle w:val="Heading2"/>
      </w:pPr>
      <w:r>
        <w:t>14.2 Data availability</w:t>
      </w:r>
    </w:p>
    <w:p>
      <w:r>
        <w:t>The source code and synthetic metadata template are publicly available in the repository. Raw clinical NMR data are subject to participant consent, ethics approvals, institutional governance, and applicable privacy regulations. Replace this sentence with the final public, controlled-access, or reasonable-request data-sharing arrangement.</w:t>
      </w:r>
    </w:p>
    <w:p>
      <w:pPr>
        <w:pStyle w:val="Heading1"/>
      </w:pPr>
      <w:r>
        <w:t>15. Pre-submission checklist</w:t>
      </w:r>
    </w:p>
    <w:p>
      <w:r>
        <w:t>☐ All repository and documentation URL placeholders replaced.</w:t>
      </w:r>
    </w:p>
    <w:p>
      <w:r>
        <w:t>☐ Author ORCID identifiers added.</w:t>
      </w:r>
    </w:p>
    <w:p>
      <w:r>
        <w:t>☐ Institutional license approval obtained.</w:t>
      </w:r>
    </w:p>
    <w:p>
      <w:r>
        <w:t>☐ Repository history checked for confidential data.</w:t>
      </w:r>
    </w:p>
    <w:p>
      <w:r>
        <w:t>☐ Clean installation tested.</w:t>
      </w:r>
    </w:p>
    <w:p>
      <w:r>
        <w:t>☐ Smoke test and documentation workflows pass.</w:t>
      </w:r>
    </w:p>
    <w:p>
      <w:r>
        <w:t>☐ A tagged release is created.</w:t>
      </w:r>
    </w:p>
    <w:p>
      <w:r>
        <w:t>☐ The release is archived with Zenodo.</w:t>
      </w:r>
    </w:p>
    <w:p>
      <w:r>
        <w:t>☐ The exact version and DOI are included in the manuscript.</w:t>
      </w:r>
    </w:p>
    <w:p>
      <w:r>
        <w:t>☐ Example or public test data are available.</w:t>
      </w:r>
    </w:p>
    <w:p>
      <w:r>
        <w:t>☐ All scientific defaults and limitations are documented.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NMRMetaboWizard supplementary software documentation — version 0.1.0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95F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