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Asesmen Kebutuhan Konfigurasi Layanan IT Satset</w:t>
      </w:r>
    </w:p>
    <w:p>
      <w:pPr>
        <w:spacing w:after="100"/>
      </w:pPr>
      <w:r>
        <w:rPr>
          <w:b/>
        </w:rPr>
        <w:t>Formulir untuk Tim Support IT</w:t>
      </w:r>
    </w:p>
    <w:p>
      <w:pPr>
        <w:spacing w:after="100"/>
      </w:pPr>
      <w:r>
        <w:rPr>
          <w:b w:val="0"/>
        </w:rPr>
        <w:t>Mohon isi formulir ini sebagai dasar penyusunan layanan, alur penanganan, persetujuan, SLA, dan laporan layanan IT di Satset. Jawaban akan ditinjau bersama sebelum konfigurasi diterapkan.</w:t>
      </w:r>
    </w:p>
    <w:p>
      <w:pPr>
        <w:spacing w:after="100"/>
      </w:pPr>
      <w:r>
        <w:rPr>
          <w:b w:val="0"/>
        </w:rPr>
        <w:t>Cara mengisi: ketik jawaban pada area bertitik atau sel kosong, dan beri tanda X pada pilihan yang sesuai. Tambahkan baris bila diperlukan. Isi “belum ditentukan” jika keputusan masih perlu dibahas. Jangan mencantumkan kata sandi atau kredensial.</w:t>
      </w:r>
    </w:p>
    <w:p>
      <w:pPr>
        <w:pStyle w:val="Heading1"/>
      </w:pPr>
      <w:r>
        <w:t>1  Identitas pengisi</w:t>
      </w:r>
    </w:p>
    <w:p>
      <w:pPr>
        <w:spacing w:after="140"/>
      </w:pPr>
      <w:r>
        <w:rPr>
          <w:b/>
        </w:rPr>
        <w:t xml:space="preserve">Nama dan jabatan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Tim atau unit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Kontak kerja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Tanggal pengisian  </w:t>
      </w:r>
      <w:r>
        <w:t>........................................................................................................</w:t>
      </w:r>
    </w:p>
    <w:p>
      <w:pPr>
        <w:pStyle w:val="Heading1"/>
      </w:pPr>
      <w:r>
        <w:t>2  Cakupan penerapan</w:t>
      </w:r>
    </w:p>
    <w:p>
      <w:pPr>
        <w:spacing w:after="100"/>
      </w:pPr>
      <w:r>
        <w:rPr>
          <w:b w:val="0"/>
        </w:rPr>
        <w:t>2.1 Siapa yang boleh mengajukan tiket saat layanan dibuka?</w:t>
      </w:r>
    </w:p>
    <w:p>
      <w:pPr>
        <w:spacing w:after="100"/>
      </w:pPr>
      <w:r>
        <w:rPr>
          <w:b w:val="0"/>
        </w:rPr>
        <w:t>☐ Semua pengguna Satset    ☐ Pengguna atau unit tertentu    ☐ Belum ditentukan</w:t>
      </w:r>
    </w:p>
    <w:p>
      <w:pPr>
        <w:spacing w:after="140"/>
      </w:pPr>
      <w:r>
        <w:rPr>
          <w:b/>
        </w:rPr>
        <w:t xml:space="preserve">Jika terbatas, sebutkan pengguna atau unit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2.2 Cara pembukaan yang diinginkan</w:t>
      </w:r>
    </w:p>
    <w:p>
      <w:pPr>
        <w:spacing w:after="100"/>
      </w:pPr>
      <w:r>
        <w:rPr>
          <w:b w:val="0"/>
        </w:rPr>
        <w:t>☐ Pilot terbatas    ☐ Langsung seluruh pengguna    ☐ Belum ditentukan</w:t>
      </w:r>
    </w:p>
    <w:p>
      <w:pPr>
        <w:spacing w:after="140"/>
      </w:pPr>
      <w:r>
        <w:rPr>
          <w:b/>
        </w:rPr>
        <w:t xml:space="preserve">Peserta pilot atau unit awal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Target mulai dan catatan  </w:t>
      </w:r>
      <w:r>
        <w:t>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3  Layanan dan kategori</w:t>
      </w:r>
    </w:p>
    <w:p>
      <w:pPr>
        <w:spacing w:after="100"/>
      </w:pPr>
      <w:r>
        <w:rPr>
          <w:b w:val="0"/>
        </w:rPr>
        <w:t>Cantumkan layanan yang perlu dibuka. Gangguan adalah layanan yang tidak berjalan sebagaimana mestinya. Permintaan adalah kebutuhan baru seperti akun atau akses.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Jenis</w:t>
            </w:r>
          </w:p>
        </w:tc>
        <w:tc>
          <w:tcPr>
            <w:tcW w:type="dxa" w:w="2551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Layanan atau kategori</w:t>
            </w:r>
          </w:p>
        </w:tc>
        <w:tc>
          <w:tcPr>
            <w:tcW w:type="dxa" w:w="3402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Contoh kebutuhan</w:t>
            </w:r>
          </w:p>
        </w:tc>
        <w:tc>
          <w:tcPr>
            <w:tcW w:type="dxa" w:w="2041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Buka awal?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Gangguan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☐ Ya  ☐ Tidak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Gangguan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☐ Ya  ☐ Tidak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Permintaan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☐ Ya  ☐ Tidak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Permintaan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☐ Ya  ☐ Tidak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3.1 Informasi yang wajib diisi pemohon untuk setiap kategori, misalnya lokasi, perangkat, akun, waktu kejadian, atau lampiran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948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Layanan atau kategori</w:t>
            </w:r>
          </w:p>
        </w:tc>
        <w:tc>
          <w:tcPr>
            <w:tcW w:type="dxa" w:w="6576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Informasi wajib dan bukti pendukung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657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657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657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3.2 Apakah ada kategori rahasia seperti insiden keamanan atau akses istimewa?</w:t>
      </w:r>
    </w:p>
    <w:p>
      <w:pPr>
        <w:spacing w:after="100"/>
      </w:pPr>
      <w:r>
        <w:rPr>
          <w:b w:val="0"/>
        </w:rPr>
        <w:t>☐ Tidak    ☐ Ya    ☐ Belum ditentukan</w:t>
      </w:r>
    </w:p>
    <w:p>
      <w:pPr>
        <w:spacing w:after="140"/>
      </w:pPr>
      <w:r>
        <w:rPr>
          <w:b/>
        </w:rPr>
        <w:t xml:space="preserve">Kategori dan petugas yang boleh melihat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Hal lain yang perlu dicatat  </w:t>
      </w:r>
      <w:r>
        <w:t>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4  Tim dan alur penanganan</w:t>
      </w:r>
    </w:p>
    <w:p>
      <w:pPr>
        <w:spacing w:after="100"/>
      </w:pPr>
      <w:r>
        <w:rPr>
          <w:b w:val="0"/>
        </w:rPr>
        <w:t>4.1 Tetapkan penanggung jawab. Jika berbeda per layanan, tambahkan baris.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Peran</w:t>
            </w:r>
          </w:p>
        </w:tc>
        <w:tc>
          <w:tcPr>
            <w:tcW w:type="dxa" w:w="3458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Nama atau akun Satset</w:t>
            </w:r>
          </w:p>
        </w:tc>
        <w:tc>
          <w:tcPr>
            <w:tcW w:type="dxa" w:w="3231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Tim atau layanan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Pemilik layanan IT</w:t>
            </w:r>
          </w:p>
        </w:tc>
        <w:tc>
          <w:tcPr>
            <w:tcW w:type="dxa" w:w="345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Koordinator / Service Desk</w:t>
            </w:r>
          </w:p>
        </w:tc>
        <w:tc>
          <w:tcPr>
            <w:tcW w:type="dxa" w:w="345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Koordinator pengganti</w:t>
            </w:r>
          </w:p>
        </w:tc>
        <w:tc>
          <w:tcPr>
            <w:tcW w:type="dxa" w:w="345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Teknisi</w:t>
            </w:r>
          </w:p>
        </w:tc>
        <w:tc>
          <w:tcPr>
            <w:tcW w:type="dxa" w:w="345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Teknisi</w:t>
            </w:r>
          </w:p>
        </w:tc>
        <w:tc>
          <w:tcPr>
            <w:tcW w:type="dxa" w:w="345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4.2 Aturan pengalihan tiket ke tim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402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Layanan atau kategori</w:t>
            </w:r>
          </w:p>
        </w:tc>
        <w:tc>
          <w:tcPr>
            <w:tcW w:type="dxa" w:w="3061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Tim utama</w:t>
            </w:r>
          </w:p>
        </w:tc>
        <w:tc>
          <w:tcPr>
            <w:tcW w:type="dxa" w:w="3061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Tim cadangan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4.3 Jika tiket salah kategori atau membutuhkan tim lain, siapa yang boleh memindahkan tiket dan bagaimana prosesnya?</w:t>
      </w:r>
    </w:p>
    <w:p>
      <w:pPr>
        <w:spacing w:after="140"/>
      </w:pPr>
      <w:r>
        <w:rPr>
          <w:b/>
        </w:rPr>
        <w:t xml:space="preserve">Jawaban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Catatan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4.4 Informasi atau status yang perlu disampaikan kepada pemohon selama penanganan</w:t>
      </w:r>
    </w:p>
    <w:p>
      <w:pPr>
        <w:spacing w:after="140"/>
      </w:pPr>
      <w:r>
        <w:rPr>
          <w:b/>
        </w:rPr>
        <w:t xml:space="preserve">Jawaban  </w:t>
      </w:r>
      <w:r>
        <w:t>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5  Persetujuan permintaan</w:t>
      </w:r>
    </w:p>
    <w:p>
      <w:pPr>
        <w:spacing w:after="100"/>
      </w:pPr>
      <w:r>
        <w:rPr>
          <w:b w:val="0"/>
        </w:rPr>
        <w:t>5.1 Kebutuhan persetujuan</w:t>
      </w:r>
    </w:p>
    <w:p>
      <w:pPr>
        <w:spacing w:after="100"/>
      </w:pPr>
      <w:r>
        <w:rPr>
          <w:b w:val="0"/>
        </w:rPr>
        <w:t>☐ Seluruh permintaan perlu persetujuan    ☐ Hanya jenis tertentu    ☐ Tidak ada    ☐ Belum ditentukan</w:t>
      </w:r>
    </w:p>
    <w:p>
      <w:pPr>
        <w:spacing w:after="100"/>
      </w:pPr>
      <w:r>
        <w:rPr>
          <w:b w:val="0"/>
        </w:rPr>
        <w:t>5.2 Isi aturan per layanan. Gunakan nama jabatan atau nama akun yang dapat ditetapkan.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Jenis permintaan</w:t>
            </w:r>
          </w:p>
        </w:tc>
        <w:tc>
          <w:tcPr>
            <w:tcW w:type="dxa" w:w="3061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Penyetuju</w:t>
            </w:r>
          </w:p>
        </w:tc>
        <w:tc>
          <w:tcPr>
            <w:tcW w:type="dxa" w:w="3402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Urutan atau kondisi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5.3 Jika penyetuju tidak tersedia, siapa pengganti dan bagaimana mekanismenya?</w:t>
      </w:r>
    </w:p>
    <w:p>
      <w:pPr>
        <w:spacing w:after="140"/>
      </w:pPr>
      <w:r>
        <w:rPr>
          <w:b/>
        </w:rPr>
        <w:t xml:space="preserve">Jawaban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5.4 Jika permintaan ditolak atau perlu diperbaiki, informasi apa yang perlu disampaikan kepada pemohon?</w:t>
      </w:r>
    </w:p>
    <w:p>
      <w:pPr>
        <w:spacing w:after="140"/>
      </w:pPr>
      <w:r>
        <w:rPr>
          <w:b/>
        </w:rPr>
        <w:t xml:space="preserve">Jawaban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5.5 Sumber penentu atasan atau penyetuju</w:t>
      </w:r>
    </w:p>
    <w:p>
      <w:pPr>
        <w:spacing w:after="100"/>
      </w:pPr>
      <w:r>
        <w:rPr>
          <w:b w:val="0"/>
        </w:rPr>
        <w:t>☐ Data organisasi / Portal    ☐ Pengguna tertentu    ☐ Cara lain    ☐ Belum ditentukan</w:t>
      </w:r>
    </w:p>
    <w:p>
      <w:pPr>
        <w:spacing w:after="140"/>
      </w:pPr>
      <w:r>
        <w:rPr>
          <w:b/>
        </w:rPr>
        <w:t xml:space="preserve">Penjelasan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Catatan: kebutuhan pengganti atau aturan approval tambahan akan ditinjau kesesuaiannya dengan fitur yang tersedia sebelum diterapkan.</w:t>
      </w:r>
    </w:p>
    <w:p>
      <w:r>
        <w:br w:type="page"/>
      </w:r>
    </w:p>
    <w:p>
      <w:pPr>
        <w:pStyle w:val="Heading1"/>
      </w:pPr>
      <w:r>
        <w:t>6  Kalender layanan dan SLA</w:t>
      </w:r>
    </w:p>
    <w:p>
      <w:pPr>
        <w:spacing w:after="100"/>
      </w:pPr>
      <w:r>
        <w:rPr>
          <w:b w:val="0"/>
        </w:rPr>
        <w:t>Gunakan satuan menit atau jam layanan dan pastikan petugas tersedia pada jadwal tersebut. Respons pertama adalah respons petugas kepada pemohon. Penyelesaian adalah pemulihan gangguan atau pemenuhan permintaan.</w:t>
      </w:r>
    </w:p>
    <w:p>
      <w:pPr>
        <w:spacing w:after="140"/>
      </w:pPr>
      <w:r>
        <w:rPr>
          <w:b/>
        </w:rPr>
        <w:t xml:space="preserve">Hari dan jam layanan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Zona waktu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Hari libur dan pengecualian jadwal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6.1 Apakah tiket kritis P1 perlu ditangani di luar jam layanan?</w:t>
      </w:r>
    </w:p>
    <w:p>
      <w:pPr>
        <w:spacing w:after="100"/>
      </w:pPr>
      <w:r>
        <w:rPr>
          <w:b w:val="0"/>
        </w:rPr>
        <w:t>☐ Ya    ☐ Tidak    ☐ Belum ditentukan</w:t>
      </w:r>
    </w:p>
    <w:p>
      <w:pPr>
        <w:spacing w:after="140"/>
      </w:pPr>
      <w:r>
        <w:rPr>
          <w:b/>
        </w:rPr>
        <w:t xml:space="preserve">Jika ya, jadwal dan petugas siaga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6.2 Target SLA yang diusulkan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2268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Respons pertama</w:t>
            </w:r>
          </w:p>
        </w:tc>
        <w:tc>
          <w:tcPr>
            <w:tcW w:type="dxa" w:w="2721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Pemulihan gangguan</w:t>
            </w:r>
          </w:p>
        </w:tc>
        <w:tc>
          <w:tcPr>
            <w:tcW w:type="dxa" w:w="2721"/>
            <w:vAlign w:val="center"/>
            <w:shd w:fill="EDEFF2"/>
          </w:tcPr>
          <w:p>
            <w:pPr>
              <w:spacing w:after="40" w:before="40"/>
            </w:pPr>
            <w:r>
              <w:rPr>
                <w:b/>
                <w:sz w:val="18"/>
              </w:rPr>
              <w:t>Pemenuhan permintaan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P1  Kritis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P2  Tinggi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P3  Sedang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P4  Rendah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6.3 Kapan perhitungan SLA boleh dijeda? Tandai yang berlaku dan jelaskan per jenis clock jika berbeda.</w:t>
      </w:r>
    </w:p>
    <w:p>
      <w:pPr>
        <w:spacing w:after="100"/>
      </w:pPr>
      <w:r>
        <w:rPr>
          <w:b w:val="0"/>
        </w:rPr>
        <w:t>☐ Menunggu pemohon   ☐ Menunggu vendor   ☐ Menunggu persetujuan</w:t>
      </w:r>
    </w:p>
    <w:p>
      <w:pPr>
        <w:spacing w:after="100"/>
      </w:pPr>
      <w:r>
        <w:rPr>
          <w:b w:val="0"/>
        </w:rPr>
        <w:t>☐ Menunggu barang   ☐ Pekerjaan internal   ☐ Lainnya / belum ditentukan</w:t>
      </w:r>
    </w:p>
    <w:p>
      <w:pPr>
        <w:spacing w:after="140"/>
      </w:pPr>
      <w:r>
        <w:rPr>
          <w:b/>
        </w:rPr>
        <w:t xml:space="preserve">Penjelasan dan pengecualian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6.4 Eskalasi dan pengingat</w:t>
      </w:r>
    </w:p>
    <w:p>
      <w:pPr>
        <w:spacing w:after="140"/>
      </w:pPr>
      <w:r>
        <w:rPr>
          <w:b/>
        </w:rPr>
        <w:t xml:space="preserve">Kapan dikirim, misalnya 80% atau 100% target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Penerima dan interval pengulangan  </w:t>
      </w:r>
      <w:r>
        <w:t>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7  Penyelesaian dan pengalaman pemohon</w:t>
      </w:r>
    </w:p>
    <w:p>
      <w:pPr>
        <w:spacing w:after="100"/>
      </w:pPr>
      <w:r>
        <w:rPr>
          <w:b w:val="0"/>
        </w:rPr>
        <w:t>7.1 Siapa yang menyatakan tiket selesai dan siapa yang mengonfirmasi penutupan?</w:t>
      </w:r>
    </w:p>
    <w:p>
      <w:pPr>
        <w:spacing w:after="140"/>
      </w:pPr>
      <w:r>
        <w:rPr>
          <w:b/>
        </w:rPr>
        <w:t xml:space="preserve">Petugas yang menyelesaikan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Pihak yang mengonfirmasi penutupan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7.2 Jika pemohon tidak merespons setelah tiket diselesaikan, apa tindakan yang diinginkan?</w:t>
      </w:r>
    </w:p>
    <w:p>
      <w:pPr>
        <w:spacing w:after="100"/>
      </w:pPr>
      <w:r>
        <w:rPr>
          <w:b w:val="0"/>
        </w:rPr>
        <w:t>☐ Menunggu konfirmasi    ☐ Penutupan otomatis    ☐ Belum ditentukan</w:t>
      </w:r>
    </w:p>
    <w:p>
      <w:pPr>
        <w:spacing w:after="140"/>
      </w:pPr>
      <w:r>
        <w:rPr>
          <w:b/>
        </w:rPr>
        <w:t xml:space="preserve">Jika otomatis, batas waktu dan kondisi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7.3 Apakah tiket yang sudah selesai boleh dibuka kembali?</w:t>
      </w:r>
    </w:p>
    <w:p>
      <w:pPr>
        <w:spacing w:after="100"/>
      </w:pPr>
      <w:r>
        <w:rPr>
          <w:b w:val="0"/>
        </w:rPr>
        <w:t>☐ Ya    ☐ Tidak    ☐ Belum ditentukan</w:t>
      </w:r>
    </w:p>
    <w:p>
      <w:pPr>
        <w:spacing w:after="140"/>
      </w:pPr>
      <w:r>
        <w:rPr>
          <w:b/>
        </w:rPr>
        <w:t xml:space="preserve">Batas waktu dan alasan yang diperbolehkan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7.4 Informasi yang wajib dicatat sebelum tiket diselesaikan</w:t>
      </w:r>
    </w:p>
    <w:p>
      <w:pPr>
        <w:spacing w:after="140"/>
      </w:pPr>
      <w:r>
        <w:rPr>
          <w:b/>
        </w:rPr>
        <w:t xml:space="preserve">Jawaban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Catatan: kebutuhan penutupan otomatis dan perubahan alur akan diverifikasi terhadap fitur yang tersedia, lalu direncanakan bila perlu pengembangan.</w:t>
      </w:r>
    </w:p>
    <w:p>
      <w:pPr>
        <w:pStyle w:val="Heading1"/>
      </w:pPr>
      <w:r>
        <w:t>8  Dashboard dan laporan</w:t>
      </w:r>
    </w:p>
    <w:p>
      <w:pPr>
        <w:spacing w:after="100"/>
      </w:pPr>
      <w:r>
        <w:rPr>
          <w:b w:val="0"/>
        </w:rPr>
        <w:t>8.1 Informasi yang dibutuhkan manajemen</w:t>
      </w:r>
    </w:p>
    <w:p>
      <w:pPr>
        <w:spacing w:after="100"/>
      </w:pPr>
      <w:r>
        <w:rPr>
          <w:b w:val="0"/>
        </w:rPr>
        <w:t>☐ Jumlah dan tren tiket   ☐ SLA   ☐ Backlog   ☐ Kategori   ☐ Beban tim</w:t>
      </w:r>
    </w:p>
    <w:p>
      <w:pPr>
        <w:spacing w:after="140"/>
      </w:pPr>
      <w:r>
        <w:rPr>
          <w:b/>
        </w:rPr>
        <w:t xml:space="preserve">Indikator lain dan definisi yang diharapkan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8.2 Akses laporan dan tiket</w:t>
      </w:r>
    </w:p>
    <w:p>
      <w:pPr>
        <w:spacing w:after="140"/>
      </w:pPr>
      <w:r>
        <w:rPr>
          <w:b/>
        </w:rPr>
        <w:t xml:space="preserve">Nama atau jabatan yang boleh melihat seluruh tiket biasa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Nama atau jabatan yang boleh melihat tiket rahasia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Periode dan format laporan yang dibutuhkan  </w:t>
      </w:r>
      <w:r>
        <w:t>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9  Operasional dan pelaksanaan</w:t>
      </w:r>
    </w:p>
    <w:p>
      <w:pPr>
        <w:spacing w:after="100"/>
      </w:pPr>
      <w:r>
        <w:rPr>
          <w:b w:val="0"/>
        </w:rPr>
        <w:t>9.1 Kanal notifikasi yang dibutuhkan</w:t>
      </w:r>
    </w:p>
    <w:p>
      <w:pPr>
        <w:spacing w:after="100"/>
      </w:pPr>
      <w:r>
        <w:rPr>
          <w:b w:val="0"/>
        </w:rPr>
        <w:t>☐ Inbox Satset   ☐ Email   ☐ Kanal lain   ☐ Belum ditentukan</w:t>
      </w:r>
    </w:p>
    <w:p>
      <w:pPr>
        <w:spacing w:after="140"/>
      </w:pPr>
      <w:r>
        <w:rPr>
          <w:b/>
        </w:rPr>
        <w:t xml:space="preserve">Penerima dan kejadian yang memicu notifikasi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9.2 Kebutuhan dukungan, pemulihan, dan eskalasi operasional</w:t>
      </w:r>
    </w:p>
    <w:p>
      <w:pPr>
        <w:spacing w:after="140"/>
      </w:pPr>
      <w:r>
        <w:rPr>
          <w:b/>
        </w:rPr>
        <w:t xml:space="preserve">Kontak support dan pengganti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Cara melaporkan gangguan pada aplikasi Satset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9.3 Ketika sistem tidak tersedia, bagaimana tiket dicatat sementara dan dipindahkan kembali?</w:t>
      </w:r>
    </w:p>
    <w:p>
      <w:pPr>
        <w:spacing w:after="140"/>
      </w:pPr>
      <w:r>
        <w:rPr>
          <w:b/>
        </w:rPr>
        <w:t xml:space="preserve">Jawaban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Penanggung jawab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9.4 Uji penerimaan dan penerapan</w:t>
      </w:r>
    </w:p>
    <w:p>
      <w:pPr>
        <w:spacing w:after="140"/>
      </w:pPr>
      <w:r>
        <w:rPr>
          <w:b/>
        </w:rPr>
        <w:t xml:space="preserve">Nama perwakilan pemohon untuk pengujian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Nama perwakilan support dan approver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Lingkungan dan waktu pengujian yang diusulkan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Apakah ada tiket IT lama yang perlu dipindahkan atau tetap hanya dibaca?</w:t>
      </w:r>
    </w:p>
    <w:p>
      <w:pPr>
        <w:spacing w:after="100"/>
      </w:pPr>
      <w:r>
        <w:rPr>
          <w:b w:val="0"/>
        </w:rPr>
        <w:t>☐ Perlu dipindahkan   ☐ Tetap dibaca   ☐ Belum ditentukan</w:t>
      </w:r>
    </w:p>
    <w:p>
      <w:pPr>
        <w:spacing w:after="140"/>
      </w:pPr>
      <w:r>
        <w:rPr>
          <w:b/>
        </w:rPr>
        <w:t xml:space="preserve">Sumber data dan penanggung jawab  </w:t>
      </w:r>
      <w:r>
        <w:t>........................................................................................................</w:t>
      </w:r>
    </w:p>
    <w:p>
      <w:pPr>
        <w:pStyle w:val="Heading1"/>
      </w:pPr>
      <w:r>
        <w:t>10  Catatan dan peninjauan</w:t>
      </w:r>
    </w:p>
    <w:p>
      <w:pPr>
        <w:spacing w:after="100"/>
      </w:pPr>
      <w:r>
        <w:rPr>
          <w:b w:val="0"/>
        </w:rPr>
        <w:t>Kebutuhan lain atau keputusan yang masih perlu dibahas</w:t>
      </w:r>
    </w:p>
    <w:p>
      <w:pPr>
        <w:spacing w:after="140"/>
      </w:pPr>
      <w:r>
        <w:rPr>
          <w:b/>
        </w:rPr>
        <w:t xml:space="preserve">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Diisi oleh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Ditinjau oleh  </w:t>
      </w:r>
      <w:r>
        <w:t>........................................................................................................</w:t>
      </w:r>
    </w:p>
    <w:p>
      <w:pPr>
        <w:spacing w:after="140"/>
      </w:pPr>
      <w:r>
        <w:rPr>
          <w:b/>
        </w:rPr>
        <w:t xml:space="preserve">Tanggal peninjauan  </w:t>
      </w:r>
      <w:r>
        <w:t>........................................................................................................</w:t>
      </w:r>
    </w:p>
    <w:p>
      <w:pPr>
        <w:spacing w:after="100"/>
      </w:pPr>
      <w:r>
        <w:rPr>
          <w:b w:val="0"/>
        </w:rPr>
        <w:t>Pengisian formulir ini menjadi masukan konfigurasi. Persetujuan pelaksanaan dan pembukaan layanan dicatat melalui proses terpisah.</w:t>
      </w:r>
    </w:p>
    <w:sectPr w:rsidR="00FC693F" w:rsidRPr="0006063C" w:rsidSect="00034616"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