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t>Titelblatt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Inhaltsverzeichnisberschrift"/>
        <w:rPr/>
      </w:pPr>
      <w:r>
        <w:rPr/>
        <w:t>Inhalt</w:t>
      </w:r>
    </w:p>
    <w:p>
      <w:pPr>
        <w:pStyle w:val="Inhaltsverzeichnis1"/>
        <w:tabs>
          <w:tab w:val="right" w:pos="8210" w:leader="dot"/>
        </w:tabs>
        <w:rPr>
          <w:rStyle w:val="Verzeichnissprung"/>
          <w:vanish w:val="false"/>
        </w:rPr>
      </w:pPr>
      <w:r>
        <w:fldChar w:fldCharType="begin"/>
      </w:r>
      <w:r>
        <w:instrText> TOC </w:instrText>
      </w:r>
      <w:r>
        <w:fldChar w:fldCharType="separate"/>
      </w:r>
      <w:hyperlink w:anchor="_Toc412368719">
        <w:r>
          <w:rPr>
            <w:rStyle w:val="Verzeichnissprung"/>
          </w:rPr>
          <w:t>Es konnten keine Einträge für ein Abbildungsverzeichnis gefunden werden.</w:t>
        </w:r>
        <w:r>
          <w:rPr>
            <w:rStyle w:val="Verzeichnissprung"/>
            <w:vanish w:val="false"/>
          </w:rPr>
          <w:tab/>
          <w:t>4</w:t>
        </w:r>
      </w:hyperlink>
    </w:p>
    <w:p>
      <w:pPr>
        <w:pStyle w:val="Inhaltsverzeichnis1"/>
        <w:tabs>
          <w:tab w:val="right" w:pos="8210" w:leader="dot"/>
        </w:tabs>
        <w:rPr>
          <w:rStyle w:val="Verzeichnissprung"/>
          <w:vanish w:val="false"/>
        </w:rPr>
      </w:pPr>
      <w:hyperlink w:anchor="_Toc412368720">
        <w:r>
          <w:rPr>
            <w:rStyle w:val="Verzeichnissprung"/>
          </w:rPr>
          <w:t>Demografischer Wandel</w:t>
        </w:r>
        <w:r>
          <w:rPr>
            <w:rStyle w:val="Verzeichnissprung"/>
            <w:vanish w:val="false"/>
          </w:rPr>
          <w:tab/>
          <w:t>5</w:t>
        </w:r>
      </w:hyperlink>
    </w:p>
    <w:p>
      <w:pPr>
        <w:pStyle w:val="Inhaltsverzeichnis2"/>
        <w:tabs>
          <w:tab w:val="right" w:pos="8210" w:leader="dot"/>
        </w:tabs>
        <w:rPr>
          <w:rStyle w:val="Verzeichnissprung"/>
          <w:vanish w:val="false"/>
        </w:rPr>
      </w:pPr>
      <w:hyperlink w:anchor="_Toc412368721">
        <w:r>
          <w:rPr>
            <w:rStyle w:val="Verzeichnissprung"/>
          </w:rPr>
          <w:t>Bedeutung</w:t>
        </w:r>
        <w:r>
          <w:rPr>
            <w:rStyle w:val="Verzeichnissprung"/>
            <w:vanish w:val="false"/>
          </w:rPr>
          <w:tab/>
          <w:t>5</w:t>
        </w:r>
      </w:hyperlink>
    </w:p>
    <w:p>
      <w:pPr>
        <w:pStyle w:val="Inhaltsverzeichnis2"/>
        <w:tabs>
          <w:tab w:val="right" w:pos="8210" w:leader="dot"/>
        </w:tabs>
        <w:rPr>
          <w:rStyle w:val="Verzeichnissprung"/>
          <w:vanish w:val="false"/>
        </w:rPr>
      </w:pPr>
      <w:hyperlink w:anchor="_Toc412368722">
        <w:r>
          <w:rPr>
            <w:rStyle w:val="Verzeichnissprung"/>
          </w:rPr>
          <w:t>Ursachen</w:t>
        </w:r>
        <w:r>
          <w:rPr>
            <w:rStyle w:val="Verzeichnissprung"/>
            <w:vanish w:val="false"/>
          </w:rPr>
          <w:tab/>
          <w:t>5</w:t>
        </w:r>
      </w:hyperlink>
    </w:p>
    <w:p>
      <w:pPr>
        <w:pStyle w:val="Inhaltsverzeichnis2"/>
        <w:tabs>
          <w:tab w:val="right" w:pos="8210" w:leader="dot"/>
        </w:tabs>
        <w:rPr>
          <w:rStyle w:val="Verzeichnissprung"/>
          <w:vanish w:val="false"/>
        </w:rPr>
      </w:pPr>
      <w:hyperlink w:anchor="_Toc412368723">
        <w:r>
          <w:rPr>
            <w:rStyle w:val="Verzeichnissprung"/>
          </w:rPr>
          <w:t>Bedeutung für die Versicherungswirtschaft</w:t>
        </w:r>
        <w:r>
          <w:rPr>
            <w:rStyle w:val="Verzeichnissprung"/>
            <w:vanish w:val="false"/>
          </w:rPr>
          <w:tab/>
          <w:t>7</w:t>
        </w:r>
      </w:hyperlink>
    </w:p>
    <w:p>
      <w:pPr>
        <w:pStyle w:val="Inhaltsverzeichnis2"/>
        <w:tabs>
          <w:tab w:val="right" w:pos="8210" w:leader="dot"/>
        </w:tabs>
        <w:rPr>
          <w:rStyle w:val="Verzeichnissprung"/>
          <w:vanish w:val="false"/>
        </w:rPr>
      </w:pPr>
      <w:hyperlink w:anchor="_Toc412368724">
        <w:r>
          <w:rPr>
            <w:rStyle w:val="Verzeichnissprung"/>
          </w:rPr>
          <w:t>Herausforderung für die Versicherungswirtschaft</w:t>
        </w:r>
        <w:r>
          <w:rPr>
            <w:rStyle w:val="Verzeichnissprung"/>
            <w:vanish w:val="false"/>
          </w:rPr>
          <w:tab/>
          <w:t>9</w:t>
        </w:r>
      </w:hyperlink>
    </w:p>
    <w:p>
      <w:pPr>
        <w:pStyle w:val="Inhaltsverzeichnis1"/>
        <w:tabs>
          <w:tab w:val="right" w:pos="8210" w:leader="dot"/>
        </w:tabs>
        <w:rPr>
          <w:rStyle w:val="Verzeichnissprung"/>
          <w:vanish w:val="false"/>
        </w:rPr>
      </w:pPr>
      <w:hyperlink w:anchor="_Toc412368725">
        <w:r>
          <w:rPr>
            <w:rStyle w:val="Verzeichnissprung"/>
          </w:rPr>
          <w:t>Literaturverzeichnis</w:t>
        </w:r>
        <w:r>
          <w:rPr>
            <w:rStyle w:val="Verzeichnissprung"/>
            <w:vanish w:val="false"/>
          </w:rPr>
          <w:tab/>
          <w:t>12</w:t>
        </w:r>
      </w:hyperlink>
    </w:p>
    <w:p>
      <w:pPr>
        <w:pStyle w:val="Normal"/>
        <w:rPr/>
      </w:pPr>
      <w:r>
        <w:rPr/>
      </w:r>
      <w:r>
        <w:fldChar w:fldCharType="end"/>
      </w:r>
    </w:p>
    <w:p>
      <w:pPr>
        <w:pStyle w:val="Normal"/>
        <w:suppressAutoHyphens w:val="false"/>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pageBreakBefore/>
        <w:rPr/>
      </w:pPr>
      <w:r>
        <w:rPr/>
        <w:t>Tabellenverzeichnis</w:t>
      </w:r>
    </w:p>
    <w:p>
      <w:pPr>
        <w:pStyle w:val="Normal"/>
        <w:suppressAutoHyphens w:val="false"/>
        <w:spacing w:lineRule="auto" w:line="360"/>
        <w:rPr/>
      </w:pPr>
      <w:r>
        <w:rPr/>
      </w:r>
    </w:p>
    <w:p>
      <w:pPr>
        <w:pStyle w:val="Berschrift1"/>
        <w:pageBreakBefore/>
        <w:rPr>
          <w:b w:val="false"/>
          <w:bCs w:val="false"/>
        </w:rPr>
      </w:pPr>
      <w:r>
        <w:fldChar w:fldCharType="begin"/>
      </w:r>
      <w:r>
        <w:instrText> TOC \c "Abbildung" </w:instrText>
      </w:r>
      <w:r>
        <w:fldChar w:fldCharType="separate"/>
      </w:r>
      <w:bookmarkStart w:id="0" w:name="_Toc412368719"/>
      <w:bookmarkEnd w:id="0"/>
      <w:r>
        <w:rPr>
          <w:b w:val="false"/>
          <w:bCs w:val="false"/>
        </w:rPr>
        <w:t>Es konnten keine Einträge für ein Abbildungsverzeichnis gefunden werden.</w:t>
      </w:r>
      <w:r>
        <w:fldChar w:fldCharType="end"/>
      </w:r>
    </w:p>
    <w:p>
      <w:pPr>
        <w:pStyle w:val="Normal"/>
        <w:suppressAutoHyphens w:val="false"/>
        <w:spacing w:lineRule="auto" w:line="360"/>
        <w:rPr>
          <w:rFonts w:cs="" w:ascii="Cambria" w:hAnsi="Cambria"/>
          <w:b/>
          <w:bCs/>
          <w:color w:val="365F91"/>
          <w:sz w:val="28"/>
          <w:szCs w:val="28"/>
        </w:rPr>
      </w:pPr>
      <w:r>
        <w:rPr>
          <w:rFonts w:cs="" w:ascii="Cambria" w:hAnsi="Cambria"/>
          <w:b/>
          <w:bCs/>
          <w:color w:val="365F91"/>
          <w:sz w:val="28"/>
          <w:szCs w:val="28"/>
        </w:rPr>
      </w:r>
    </w:p>
    <w:p>
      <w:pPr>
        <w:pStyle w:val="Berschrift1"/>
        <w:pageBreakBefore/>
        <w:rPr/>
      </w:pPr>
      <w:bookmarkStart w:id="1" w:name="_Toc412368720"/>
      <w:bookmarkEnd w:id="1"/>
      <w:r>
        <w:rPr/>
        <w:t>Demografischer Wandel</w:t>
      </w:r>
    </w:p>
    <w:p>
      <w:pPr>
        <w:pStyle w:val="KeinLeerraum1"/>
        <w:spacing w:lineRule="auto" w:line="360"/>
        <w:jc w:val="both"/>
        <w:rPr>
          <w:rFonts w:cs="Times New Roman" w:ascii="Times New Roman" w:hAnsi="Times New Roman"/>
          <w:b/>
          <w:sz w:val="24"/>
          <w:szCs w:val="24"/>
        </w:rPr>
      </w:pPr>
      <w:r>
        <w:rPr>
          <w:rFonts w:cs="Times New Roman" w:ascii="Times New Roman" w:hAnsi="Times New Roman"/>
          <w:b/>
          <w:sz w:val="24"/>
          <w:szCs w:val="24"/>
        </w:rPr>
      </w:r>
    </w:p>
    <w:p>
      <w:pPr>
        <w:pStyle w:val="Berschrift2"/>
        <w:rPr/>
      </w:pPr>
      <w:bookmarkStart w:id="2" w:name="_Toc412368721"/>
      <w:bookmarkEnd w:id="2"/>
      <w:r>
        <w:rPr/>
        <w:t>Bedeutung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Laut Statistische</w:t>
      </w:r>
      <w:r>
        <w:rPr>
          <w:rFonts w:cs="Times New Roman" w:ascii="Times New Roman" w:hAnsi="Times New Roman"/>
          <w:b/>
          <w:bCs/>
          <w:color w:val="579D1C"/>
          <w:sz w:val="24"/>
          <w:szCs w:val="24"/>
        </w:rPr>
        <w:t>m</w:t>
      </w:r>
      <w:r>
        <w:rPr>
          <w:rFonts w:cs="Times New Roman" w:ascii="Times New Roman" w:hAnsi="Times New Roman"/>
          <w:sz w:val="24"/>
          <w:szCs w:val="24"/>
        </w:rPr>
        <w:t xml:space="preserve"> Bundesamt können für die kommenden Jahrzehnte</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anhand </w:t>
      </w:r>
      <w:r>
        <w:rPr>
          <w:rFonts w:cs="Times New Roman" w:ascii="Times New Roman" w:hAnsi="Times New Roman"/>
          <w:bCs/>
          <w:color w:val="00000A"/>
          <w:sz w:val="24"/>
          <w:szCs w:val="24"/>
        </w:rPr>
        <w:t>bestimmter Faktoren</w:t>
      </w:r>
      <w:r>
        <w:rPr>
          <w:rFonts w:cs="Times New Roman" w:ascii="Times New Roman" w:hAnsi="Times New Roman"/>
          <w:color w:val="00000A"/>
          <w:sz w:val="24"/>
          <w:szCs w:val="24"/>
        </w:rPr>
        <w:t xml:space="preserve"> </w:t>
      </w:r>
      <w:r>
        <w:rPr>
          <w:rFonts w:cs="Times New Roman" w:ascii="Times New Roman" w:hAnsi="Times New Roman"/>
          <w:sz w:val="24"/>
          <w:szCs w:val="24"/>
        </w:rPr>
        <w:t>wie Anzahl, Altersgruppen und Lebensräume der Bevölkerung Prognosen entwickelt werden</w:t>
      </w:r>
      <w:r>
        <w:rPr>
          <w:rStyle w:val="Funotenanker"/>
          <w:rFonts w:cs="Times New Roman" w:ascii="Times New Roman" w:hAnsi="Times New Roman"/>
          <w:sz w:val="24"/>
          <w:szCs w:val="24"/>
        </w:rPr>
        <w:footnoteReference w:id="2"/>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w:t>
      </w:r>
      <w:r>
        <w:rPr>
          <w:rFonts w:cs="Times New Roman" w:ascii="Times New Roman" w:hAnsi="Times New Roman"/>
          <w:b/>
          <w:bCs/>
          <w:color w:val="579D1C"/>
          <w:sz w:val="24"/>
          <w:szCs w:val="24"/>
        </w:rPr>
        <w:t>auch</w:t>
      </w:r>
      <w:r>
        <w:rPr>
          <w:rFonts w:cs="Times New Roman" w:ascii="Times New Roman" w:hAnsi="Times New Roman"/>
          <w:sz w:val="24"/>
          <w:szCs w:val="24"/>
        </w:rPr>
        <w:t xml:space="preserve"> </w:t>
      </w:r>
      <w:r>
        <w:rPr>
          <w:rFonts w:cs="Times New Roman" w:ascii="Times New Roman" w:hAnsi="Times New Roman"/>
          <w:sz w:val="24"/>
          <w:szCs w:val="24"/>
        </w:rPr>
        <w:t>die Auswanderungspolitik deutscher Bürger und die Zuwanderung von Ausländern</w:t>
      </w:r>
      <w:r>
        <w:rPr>
          <w:rFonts w:cs="Times New Roman" w:ascii="Times New Roman" w:hAnsi="Times New Roman"/>
          <w:sz w:val="24"/>
          <w:szCs w:val="24"/>
          <w:vertAlign w:val="superscript"/>
        </w:rPr>
        <w:t>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Die sinkende Geburtenzahlen, steigende Lebenserwartung und Rückgang der Sterberaten tragen zur Verschiebung der Altersstruktur bei</w:t>
      </w:r>
      <w:r>
        <w:rPr>
          <w:rFonts w:cs="Times New Roman" w:ascii="Times New Roman" w:hAnsi="Times New Roman"/>
          <w:sz w:val="24"/>
          <w:szCs w:val="24"/>
          <w:vertAlign w:val="superscript"/>
        </w:rPr>
        <w:t>4</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3" w:name="_Toc412368722"/>
      <w:bookmarkEnd w:id="3"/>
      <w:r>
        <w:rPr/>
        <w:t>Ursachen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Mit dem Beginn der Industrialisierung zum Ende des 19 Jahrhunderts,  gab es einen entscheidenden Wandel in der Gesellschaft, sowie in der Wirtschaft</w:t>
      </w:r>
      <w:r>
        <w:rPr>
          <w:rFonts w:cs="Times New Roman" w:ascii="Times New Roman" w:hAnsi="Times New Roman"/>
          <w:sz w:val="24"/>
          <w:szCs w:val="24"/>
          <w:vertAlign w:val="superscript"/>
        </w:rPr>
        <w:t>5</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Die Gründe die zum Wandel beigetragen haben sind, die Weiterentwicklung im medizinischen- und technischen Bereich, die Abnahme stark körperlicher Tätigkeiten und geregelte Einkommens- und Sozialversicherungsverhältnisse. Demzufolge ist der Lebensstandard gestiegen. Sauberkeit, Ernährungsqualität, Gesundheitspflege und sportlichen Aktivitäten haben zugenommen.  Diese Verbesserungen haben einen bestimmenden Einfluss auf die steigende Lebenserwartung und das Sinken des Sterberisikos der Bevölkerung.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Weitere Antriebe der Industrialisierung, gab es in der Arbeitswelt. Neue Möglichkeiten für eine Aus- und Weiterbildung breiteten sich aus. Infolgedessen haben der steigende Bildungsgrad, vor allem bei Frauen und die längere Ausbildungszeit dazu beigetragen, dass die Familienplanung zu einem späteren Zeitpunkt stattfindet. Dieses bedeutet zugleich, dass der biologische Reproduktionszeitraum</w:t>
      </w:r>
      <w:r>
        <w:rPr>
          <w:rFonts w:cs="Times New Roman" w:ascii="Times New Roman" w:hAnsi="Times New Roman"/>
          <w:sz w:val="24"/>
          <w:szCs w:val="24"/>
          <w:vertAlign w:val="superscript"/>
        </w:rPr>
        <w:t>6</w:t>
      </w:r>
      <w:r>
        <w:rPr>
          <w:rFonts w:cs="Times New Roman" w:ascii="Times New Roman" w:hAnsi="Times New Roman"/>
          <w:sz w:val="24"/>
          <w:szCs w:val="24"/>
        </w:rPr>
        <w:t xml:space="preserve"> sich verkürzt und die Chance Kinder zu bekommen nachlässt.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Ein weiterer Punkt ist die Abschaffung von Kinderarbeit und die Einführung der Schulpflicht. Kinder haben ihre Bedeutung, in Hinsicht auf Arbeitskraft und Stütze im Alter für Ihre Familien verloren.</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Diese Veränderungen haben einen entscheidenden Einfluss auf den Rückgang der Geburtenrate</w:t>
      </w:r>
      <w:r>
        <w:rPr>
          <w:rFonts w:cs="Times New Roman" w:ascii="Times New Roman" w:hAnsi="Times New Roman"/>
          <w:sz w:val="24"/>
          <w:szCs w:val="24"/>
          <w:vertAlign w:val="superscript"/>
        </w:rPr>
        <w:t>7</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bCs/>
          <w:color w:val="00000A"/>
          <w:sz w:val="24"/>
          <w:szCs w:val="24"/>
        </w:rPr>
        <w:t>In der Folge</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wird es künftig weniger junge und mehr </w:t>
      </w:r>
      <w:r>
        <w:rPr>
          <w:rFonts w:cs="Times New Roman" w:ascii="Times New Roman" w:hAnsi="Times New Roman"/>
          <w:bCs/>
          <w:color w:val="00000A"/>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Cs/>
          <w:color w:val="00000A"/>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 Dennoch sind ältere weniger flexibel Einsetzbar und belastbar. Hinzukommt das im Vergleich zu heute, später es mehr Menschen im Rentenalter werden geben wird</w:t>
      </w:r>
      <w:r>
        <w:rPr>
          <w:rFonts w:cs="Times New Roman" w:ascii="Times New Roman" w:hAnsi="Times New Roman"/>
          <w:sz w:val="24"/>
          <w:szCs w:val="24"/>
          <w:vertAlign w:val="superscript"/>
        </w:rPr>
        <w:t>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Nach Ansicht von Börsch-Supan ist, somit die sich zum negativen verändernde  Anzahl, von aktiven Arbeitsfähigen Personen ablesbar. Daraus entsteht eine ernstzunehmende Frage: Kann die Nachfrage nach Gütern und Dienstleistungen mit einem entsprechenden Angebot noch ausreichend bewältigt werden? Die Antwort darauf ist nein, denn die Bevölkerungsgröße wird künftig abnehmen, aber durch den Anstieg des Altersdurchschnitts, geht die Produktivität der Arbeitskräfte ebenfalls zurück. Dementsprechend  führt dies bei  konstantem Verbraucherverhalten zu einem Mangel an Gütern. Hinzu kommt, dass sich in der Gesellschaft, das Kaufverhalten der Menschen durch die Altersverschiebung wandelt. Beispielsweise der Bedarf an Medikamenten, Pflegemitteln und Hilfsmitteln die für ein körperliches Wohlbefinden sorgen steigen. Dafür sinkt die aktive Teilnahme am Verkehr und Freizeitangeboten</w:t>
      </w:r>
      <w:r>
        <w:rPr>
          <w:rFonts w:cs="Times New Roman" w:ascii="Times New Roman" w:hAnsi="Times New Roman"/>
          <w:sz w:val="24"/>
          <w:szCs w:val="24"/>
          <w:vertAlign w:val="superscript"/>
        </w:rPr>
        <w:t>9</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Im Dienstleistungsbereich wie zum Beispiel in der Versicherungsbranche bringt die Altersverschiebung Chancen und Herausforderung zugleich mit</w:t>
      </w:r>
      <w:r>
        <w:rPr>
          <w:rFonts w:cs="Times New Roman" w:ascii="Times New Roman" w:hAnsi="Times New Roman"/>
          <w:sz w:val="24"/>
          <w:szCs w:val="24"/>
          <w:vertAlign w:val="superscript"/>
        </w:rPr>
        <w:t>10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r>
        <w:rPr>
          <w:rFonts w:cs="Times New Roman" w:ascii="Times New Roman" w:hAnsi="Times New Roman"/>
          <w:sz w:val="24"/>
          <w:szCs w:val="24"/>
        </w:rPr>
        <w:t>. Dies kann bei  Lebens- und Rentenversicherungen, je nach Altersgruppe die Nachfrage unterschiedlich beeinflussen. Bei den Zielgruppen 50+ ist der Bedarf an Lebensversicherungsverträgen eher Rückläufig. Das Thema Kranken- und Pflegeversicherungen wird für die Menschen im hohen Alter dagegen interessanter,  da sich Ihr Gesundheitszustand zunehmend verschlechtert</w:t>
      </w:r>
      <w:r>
        <w:rPr>
          <w:rFonts w:cs="Times New Roman" w:ascii="Times New Roman" w:hAnsi="Times New Roman"/>
          <w:sz w:val="24"/>
          <w:szCs w:val="24"/>
          <w:vertAlign w:val="superscript"/>
        </w:rPr>
        <w:t>12</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Die Ab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13/14</w:t>
      </w:r>
      <w:r>
        <w:rPr>
          <w:rFonts w:cs="Times New Roman" w:ascii="Times New Roman" w:hAnsi="Times New Roman"/>
          <w:sz w:val="24"/>
          <w:szCs w:val="24"/>
        </w:rPr>
        <w:t xml:space="preserve"> Seit den siebziger Jahren bis ins Jahr 2003 konnte sich durch Zuwanderung von Ausländern und das Erreichen eines höheren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Lebensalters die Bevölkerungszahl in Deutschland sich um 4,5 Millionen vergrößern. Obwohl die Zahl der Geburten, in Bezug auf die Sterbefälle, sich Nachteilig auswirkte. Dies hat sich seit 2003 gewandelt, der Geburtenrückgang und die Todesfälle zeigten im Verhältnis, einen zu großen Unterschied auf, eine Schmälerung der Bevölkerung ist eingetreten. Bis 2050 ist mit einer Minderung von 13 Millionen zu rechnen.  Zuwanderer werden künftig, diese Entwicklung nicht kompensieren können</w:t>
      </w:r>
      <w:r>
        <w:rPr>
          <w:rFonts w:cs="Times New Roman" w:ascii="Times New Roman" w:hAnsi="Times New Roman"/>
          <w:sz w:val="24"/>
          <w:szCs w:val="24"/>
          <w:vertAlign w:val="superscript"/>
        </w:rPr>
        <w:t>15</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Das statistische Bundesamt trifft vorhersagen, im Hinblick auf die künftige Menge der Einwanderer. Diese Vorhersagen sind unsicher, da die Beweggründe für den einzelnen Einwanderer unterschiedlich sein können</w:t>
      </w:r>
      <w:r>
        <w:rPr>
          <w:rFonts w:cs="Times New Roman" w:ascii="Times New Roman" w:hAnsi="Times New Roman"/>
          <w:sz w:val="24"/>
          <w:szCs w:val="24"/>
          <w:vertAlign w:val="superscript"/>
        </w:rPr>
        <w:t>16</w:t>
      </w:r>
      <w:r>
        <w:rPr>
          <w:rFonts w:cs="Times New Roman" w:ascii="Times New Roman" w:hAnsi="Times New Roman"/>
          <w:sz w:val="24"/>
          <w:szCs w:val="24"/>
        </w:rPr>
        <w:t>. Gründe sind beispielsweise: politische Verfolgung, finanzielle Nöte oder persönliche und familiäre Gründe</w:t>
      </w:r>
      <w:r>
        <w:rPr>
          <w:rFonts w:cs="Times New Roman" w:ascii="Times New Roman" w:hAnsi="Times New Roman"/>
          <w:sz w:val="24"/>
          <w:szCs w:val="24"/>
          <w:vertAlign w:val="superscript"/>
        </w:rPr>
        <w:t>17</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bCs/>
          <w:color w:val="00000A"/>
          <w:sz w:val="24"/>
          <w:szCs w:val="24"/>
        </w:rPr>
        <w:t>Auswirkungen ergeben sich genauso, bei den regionalen Wanderungen</w:t>
      </w:r>
      <w:r>
        <w:rPr>
          <w:rFonts w:cs="Times New Roman" w:ascii="Times New Roman" w:hAnsi="Times New Roman"/>
          <w:color w:val="00000A"/>
          <w:sz w:val="24"/>
          <w:szCs w:val="24"/>
        </w:rPr>
        <w:t>.</w:t>
      </w:r>
      <w:r>
        <w:rPr>
          <w:rFonts w:cs="Times New Roman" w:ascii="Times New Roman" w:hAnsi="Times New Roman"/>
          <w:sz w:val="24"/>
          <w:szCs w:val="24"/>
        </w:rPr>
        <w:t xml:space="preserve"> Großstädte bieten für junge Leute </w:t>
      </w:r>
      <w:r>
        <w:rPr>
          <w:rFonts w:cs="Times New Roman" w:ascii="Times New Roman" w:hAnsi="Times New Roman"/>
          <w:bCs/>
          <w:color w:val="00000A"/>
          <w:sz w:val="24"/>
          <w:szCs w:val="24"/>
        </w:rPr>
        <w:t>mehr finanzielle und berufliche Aussichten als</w:t>
      </w:r>
      <w:r>
        <w:rPr>
          <w:rFonts w:cs="Times New Roman" w:ascii="Times New Roman" w:hAnsi="Times New Roman"/>
          <w:b/>
          <w:bCs/>
          <w:color w:val="00000A"/>
          <w:sz w:val="24"/>
          <w:szCs w:val="24"/>
        </w:rPr>
        <w:t xml:space="preserve"> </w:t>
      </w:r>
      <w:r>
        <w:rPr>
          <w:rFonts w:cs="Times New Roman" w:ascii="Times New Roman" w:hAnsi="Times New Roman"/>
          <w:bCs/>
          <w:color w:val="00000A"/>
          <w:sz w:val="24"/>
          <w:szCs w:val="24"/>
        </w:rPr>
        <w:t>ländliche Gebiete</w:t>
      </w:r>
      <w:r>
        <w:rPr>
          <w:rFonts w:cs="Times New Roman" w:ascii="Times New Roman" w:hAnsi="Times New Roman"/>
          <w:b/>
          <w:bCs/>
          <w:color w:val="00000A"/>
          <w:sz w:val="24"/>
          <w:szCs w:val="24"/>
        </w:rPr>
        <w:t xml:space="preserve"> </w:t>
      </w:r>
      <w:r>
        <w:rPr>
          <w:rFonts w:cs="Times New Roman" w:ascii="Times New Roman" w:hAnsi="Times New Roman"/>
          <w:sz w:val="24"/>
          <w:szCs w:val="24"/>
        </w:rPr>
        <w:t>und sind demzufolge am Wachsen. Ländliche Regionen und die neuen Bundesländer dagegen, die begrenzte Entwicklungsmöglichkeiten aufzeigen sind vom Nachlassen der Einwohnerzahl betroffen und weisen daher, einen höheren Altersdurchschnitt aus</w:t>
      </w:r>
      <w:r>
        <w:rPr>
          <w:rFonts w:cs="Times New Roman" w:ascii="Times New Roman" w:hAnsi="Times New Roman"/>
          <w:sz w:val="24"/>
          <w:szCs w:val="24"/>
          <w:vertAlign w:val="superscript"/>
        </w:rPr>
        <w:t>18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6</w:t>
      </w:r>
      <w:r>
        <w:rPr>
          <w:rFonts w:cs="Times New Roman" w:ascii="Times New Roman" w:hAnsi="Times New Roman"/>
          <w:sz w:val="20"/>
          <w:szCs w:val="20"/>
        </w:rPr>
        <w:t xml:space="preserve"> biologische Reproduktionszeitraum:</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Vgl. Münz 2013, Fertilität und Geburtenentwicklung</w:t>
      </w:r>
    </w:p>
    <w:p>
      <w:pPr>
        <w:pStyle w:val="Footnotetext"/>
        <w:rPr>
          <w:rFonts w:cs="Times New Roman" w:ascii="Times New Roman" w:hAnsi="Times New Roman"/>
        </w:rPr>
      </w:pPr>
      <w:r>
        <w:rPr>
          <w:rFonts w:cs="Times New Roman" w:ascii="Times New Roman" w:hAnsi="Times New Roman"/>
          <w:vertAlign w:val="superscript"/>
        </w:rPr>
        <w:t xml:space="preserve"> </w:t>
      </w:r>
      <w:r>
        <w:rPr>
          <w:rFonts w:cs="Times New Roman" w:ascii="Times New Roman" w:hAnsi="Times New Roman"/>
        </w:rPr>
        <w:t xml:space="preserve"> </w:t>
      </w:r>
      <w:r>
        <w:rPr>
          <w:rFonts w:cs="Times New Roman" w:ascii="Times New Roman" w:hAnsi="Times New Roman"/>
        </w:rPr>
        <w:t>Vgl. Statistische Ämter des Bundes u. der Länder 2011, Demografischer Wandel</w:t>
      </w:r>
    </w:p>
    <w:p>
      <w:pPr>
        <w:pStyle w:val="Footnotetext"/>
        <w:rPr>
          <w:rFonts w:cs="Times New Roman" w:ascii="Times New Roman" w:hAnsi="Times New Roman"/>
        </w:rPr>
      </w:pPr>
      <w:r>
        <w:rPr>
          <w:rFonts w:cs="Times New Roman" w:ascii="Times New Roman" w:hAnsi="Times New Roman"/>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8</w:t>
      </w:r>
      <w:r>
        <w:rPr>
          <w:rFonts w:cs="Times New Roman" w:ascii="Times New Roman" w:hAnsi="Times New Roman"/>
          <w:sz w:val="20"/>
          <w:szCs w:val="20"/>
        </w:rPr>
        <w:t>Prettner/Prskawetz, Demografische Forschung 2010, S. 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9</w:t>
      </w:r>
      <w:r>
        <w:rPr>
          <w:rFonts w:cs="Times New Roman" w:ascii="Times New Roman" w:hAnsi="Times New Roman"/>
          <w:sz w:val="20"/>
          <w:szCs w:val="20"/>
        </w:rPr>
        <w:t>Börsch-Supan 2004, Gesamtwirtschaftliche Folgen des demographischen Wandels, S. 3/8/9</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10</w:t>
      </w:r>
      <w:r>
        <w:rPr>
          <w:rFonts w:cs="Times New Roman" w:ascii="Times New Roman" w:hAnsi="Times New Roman"/>
          <w:sz w:val="20"/>
          <w:szCs w:val="20"/>
        </w:rPr>
        <w:t>Birg, Der demografische Wandel als politische Herausforderung 2009, S. 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11</w:t>
      </w:r>
      <w:r>
        <w:rPr>
          <w:rFonts w:cs="Times New Roman" w:ascii="Times New Roman" w:hAnsi="Times New Roman"/>
          <w:sz w:val="20"/>
          <w:szCs w:val="20"/>
        </w:rPr>
        <w:t>GDV, Herausforderungen des demografischen Wandels für die Versicherungswirtschaft 2006, S. 14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GDV 1990, Demografischer Wandel und Versicherungswirtschaft, S. 43 - 45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13</w:t>
      </w:r>
      <w:r>
        <w:rPr>
          <w:rFonts w:cs="Times New Roman" w:ascii="Times New Roman" w:hAnsi="Times New Roman"/>
          <w:sz w:val="20"/>
          <w:szCs w:val="20"/>
        </w:rPr>
        <w:t>Statistisches Bundesamt 2011, Demografischer Wandel, S. 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Birg, Der demografische Wandel als politische Herausforderung 2009,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Klingholz, Demografische Herausforderung Deutschlands u. Europas 2008,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16</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Bohk, Demografische Forschung 2012,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18</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4" w:name="_Toc412368723"/>
      <w:bookmarkEnd w:id="4"/>
      <w:r>
        <w:rPr/>
        <w:t>Bedeutung für die Versicherungswirtschaft</w:t>
      </w:r>
    </w:p>
    <w:p>
      <w:pPr>
        <w:pStyle w:val="KeinLeerraum1"/>
        <w:spacing w:lineRule="auto" w:line="360"/>
        <w:jc w:val="both"/>
        <w:rPr>
          <w:rFonts w:cs="Times New Roman" w:ascii="Times New Roman" w:hAnsi="Times New Roman"/>
          <w:color w:val="00000A"/>
          <w:sz w:val="24"/>
          <w:szCs w:val="24"/>
        </w:rPr>
      </w:pPr>
      <w:r>
        <w:rPr>
          <w:rFonts w:cs="Times New Roman" w:ascii="Times New Roman" w:hAnsi="Times New Roman"/>
          <w:sz w:val="24"/>
          <w:szCs w:val="24"/>
        </w:rPr>
        <w:t>Welche Folgen bringt der Geburtenrückgang mit sich? Die Bevölkerung wird schrumpfen und demzufolge wird es in der Zukunft immer weniger Arbeitskräfte bzw. zugleich immer mehr ältere Beschäftigte geben</w:t>
      </w:r>
      <w:r>
        <w:rPr>
          <w:rFonts w:cs="Times New Roman" w:ascii="Times New Roman" w:hAnsi="Times New Roman"/>
          <w:sz w:val="24"/>
          <w:szCs w:val="24"/>
          <w:vertAlign w:val="superscript"/>
        </w:rPr>
        <w:t>19</w:t>
      </w:r>
      <w:r>
        <w:rPr>
          <w:rFonts w:cs="Times New Roman" w:ascii="Times New Roman" w:hAnsi="Times New Roman"/>
          <w:sz w:val="24"/>
          <w:szCs w:val="24"/>
        </w:rPr>
        <w:t xml:space="preserve">. Anhand von Zukunftsprognosen des </w:t>
      </w:r>
      <w:r>
        <w:rPr>
          <w:rFonts w:cs="Times New Roman" w:ascii="Times New Roman" w:hAnsi="Times New Roman"/>
          <w:bCs/>
          <w:color w:val="00000A"/>
          <w:sz w:val="24"/>
          <w:szCs w:val="24"/>
        </w:rPr>
        <w:t>statistischen Bundesamtes</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unter Abbildung 1 und 2 ist folgendes ablesbar: Die Generation der unter 20 jährigen weist im Jahr 2030 einen Rückgang von 2,1 Millionen aus. Die mittlere Schicht zeigt die Anzahl der Erwerbstätigen, diese deuten auf eine Rückentwicklung von über 7,6 Millionen hin. Menschen mit </w:t>
      </w:r>
      <w:r>
        <w:rPr>
          <w:rFonts w:cs="Times New Roman" w:ascii="Times New Roman" w:hAnsi="Times New Roman"/>
          <w:bCs/>
          <w:color w:val="00000A"/>
          <w:sz w:val="24"/>
          <w:szCs w:val="24"/>
        </w:rPr>
        <w:t>vorangeschrittenem</w:t>
      </w:r>
      <w:r>
        <w:rPr>
          <w:rFonts w:cs="Times New Roman" w:ascii="Times New Roman" w:hAnsi="Times New Roman"/>
          <w:sz w:val="24"/>
          <w:szCs w:val="24"/>
        </w:rPr>
        <w:t xml:space="preserve"> Alter über 65 Jahren dagegen, zeigen ein Wachstum in Höhe von 5,5 Millionen auf. Diese Vorhersagen können durch unterschiedliche Annahmen des „jährlichen Wanderungssaldos „ in diesem Beispiel mit 100000 Ausländern </w:t>
      </w:r>
      <w:r>
        <w:rPr>
          <w:rFonts w:cs="Times New Roman" w:ascii="Times New Roman" w:hAnsi="Times New Roman"/>
          <w:bCs/>
          <w:color w:val="00000A"/>
          <w:sz w:val="24"/>
          <w:szCs w:val="24"/>
        </w:rPr>
        <w:t>unterschiedlich ausfallen</w:t>
      </w:r>
      <w:r>
        <w:rPr>
          <w:rFonts w:cs="Times New Roman" w:ascii="Times New Roman" w:hAnsi="Times New Roman"/>
          <w:color w:val="00000A"/>
          <w:sz w:val="24"/>
          <w:szCs w:val="24"/>
        </w:rPr>
        <w:t>.</w:t>
      </w:r>
    </w:p>
    <w:p>
      <w:pPr>
        <w:pStyle w:val="KeinLeerraum1"/>
        <w:spacing w:lineRule="auto" w:line="360"/>
        <w:jc w:val="both"/>
        <w:rPr/>
      </w:pPr>
      <w:r>
        <w:rPr/>
        <w:drawing>
          <wp:inline distT="0" distB="0" distL="0" distR="0">
            <wp:extent cx="5219700" cy="31407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19700" cy="314071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pPr>
      <w:r>
        <w:rPr/>
        <w:drawing>
          <wp:inline distT="0" distB="0" distL="0" distR="0">
            <wp:extent cx="5219700" cy="31311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19700" cy="3131185"/>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5">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Im direkten Vergleich der beiden Grafiken ist zu erkennen, „dass sich die Bevölkerungspyramide in einen Pilz- scharfe Zungen sagen in eine Urne verwandelt hat“. Somit wird die Gesamtbevölkerung später, aus mehr älteren als jüngeren bestehen</w:t>
      </w:r>
      <w:r>
        <w:rPr>
          <w:rFonts w:cs="Times New Roman" w:ascii="Times New Roman" w:hAnsi="Times New Roman"/>
          <w:sz w:val="24"/>
          <w:szCs w:val="24"/>
          <w:vertAlign w:val="superscript"/>
        </w:rPr>
        <w:t>20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Dementsprechend wirkt sich dies auf die Versicherungsbranche aus. Den zum einen wird sich der Absicherungsbedarf bei älteren Kunden verändern, da im Alter andere Bedürfnisse in den Vordergrund treten. Darauf wird im Kapitel „die Psychologie von Älteren“ näher eingegangen. Zum anderen führt die höhere Lebenserwartung der Kunden bei den Versicherungsunternehmen dazu, die vorhandenen Sterbetafeln</w:t>
      </w:r>
      <w:r>
        <w:rPr>
          <w:rFonts w:cs="Times New Roman" w:ascii="Times New Roman" w:hAnsi="Times New Roman"/>
          <w:sz w:val="24"/>
          <w:szCs w:val="24"/>
          <w:vertAlign w:val="superscript"/>
        </w:rPr>
        <w:t>23</w:t>
      </w:r>
      <w:r>
        <w:rPr>
          <w:rFonts w:cs="Times New Roman" w:ascii="Times New Roman" w:hAnsi="Times New Roman"/>
          <w:sz w:val="24"/>
          <w:szCs w:val="24"/>
        </w:rPr>
        <w:t xml:space="preserve"> und Prämienhöhen zu überarbeiten</w:t>
      </w:r>
      <w:r>
        <w:rPr>
          <w:rFonts w:cs="Times New Roman" w:ascii="Times New Roman" w:hAnsi="Times New Roman"/>
          <w:sz w:val="24"/>
          <w:szCs w:val="24"/>
          <w:vertAlign w:val="superscript"/>
        </w:rPr>
        <w:t>22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19</w:t>
      </w:r>
      <w:r>
        <w:rPr>
          <w:rFonts w:cs="Times New Roman" w:ascii="Times New Roman" w:hAnsi="Times New Roman"/>
          <w:sz w:val="20"/>
          <w:szCs w:val="20"/>
        </w:rPr>
        <w:t xml:space="preserve">Börsch- Supan, Gesamtwirtschaftliche Folgen des demografischen Wandels 2004, S. 1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20</w:t>
      </w:r>
      <w:r>
        <w:rPr>
          <w:rFonts w:cs="Times New Roman" w:ascii="Times New Roman" w:hAnsi="Times New Roman"/>
          <w:sz w:val="20"/>
          <w:szCs w:val="20"/>
        </w:rPr>
        <w:t>Karsch und Hoßmann, Deutschlands Regionen 2010, S. 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21</w:t>
      </w:r>
      <w:r>
        <w:rPr>
          <w:rFonts w:cs="Times New Roman" w:ascii="Times New Roman" w:hAnsi="Times New Roman"/>
          <w:sz w:val="20"/>
          <w:szCs w:val="20"/>
        </w:rPr>
        <w:t>GDV, Herausforderungen des demografischen Wandels für die Versicherungswirtschaft 2006, S. 4/5/6</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22</w:t>
      </w:r>
      <w:r>
        <w:rPr>
          <w:rFonts w:cs="Times New Roman" w:ascii="Times New Roman" w:hAnsi="Times New Roman"/>
          <w:sz w:val="20"/>
          <w:szCs w:val="20"/>
        </w:rPr>
        <w:t xml:space="preserve">GDV, Herausforderungen des demografischen Wandels für die Versicherungswirtschaft 2006, S. 9,11,14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23</w:t>
      </w:r>
      <w:r>
        <w:rPr>
          <w:rFonts w:cs="Times New Roman" w:ascii="Times New Roman" w:hAnsi="Times New Roman"/>
          <w:sz w:val="20"/>
          <w:szCs w:val="20"/>
        </w:rPr>
        <w:t>Sterbetafel:</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24</w:t>
      </w:r>
      <w:r>
        <w:rPr>
          <w:rFonts w:cs="Times New Roman" w:ascii="Times New Roman" w:hAnsi="Times New Roman"/>
          <w:sz w:val="20"/>
          <w:szCs w:val="20"/>
        </w:rPr>
        <w:t>Umlageverfahren: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25</w:t>
      </w:r>
      <w:r>
        <w:rPr>
          <w:rFonts w:cs="Times New Roman" w:ascii="Times New Roman" w:hAnsi="Times New Roman"/>
          <w:sz w:val="20"/>
          <w:szCs w:val="20"/>
        </w:rPr>
        <w:t>Kapitaldeckungsverfahren: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GDV, Herausforderungen des demografischen Wandels für die Versicherungswirtschaft 2006, S. 4 /14/17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Berschrift2"/>
        <w:rPr/>
      </w:pPr>
      <w:bookmarkStart w:id="5" w:name="_Toc412368724"/>
      <w:r>
        <w:rPr/>
        <w:t xml:space="preserve">Herausforderung für </w:t>
      </w:r>
      <w:bookmarkEnd w:id="5"/>
      <w:r>
        <w:rPr/>
        <w:t>die Versicherungswirtschaft und den Versicherungskunden</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Die zunehmenden Probleme der Sozialversicherungssysteme, schaffen eine Gelegenheit für die Bevölkerung sich nach Ihren individuellen Wünschen privat abzusichern und stellen gleichzeitig eine Herausforderung dar, diesen Schritt zu tun. Das gilt für Firmenkunden genauso, wie für den privaten Anleger. Den im Gegensatz zu den Sozialversicherungssystemen die eine Pflichtversicherung für die Bürger darstellen, ist die private Vorsorge eine freiwillige Entscheidung jedes einzelnen. Die Probleme der Sozialversicherungssysteme hängen mit deren Finanzierungspolitik zusammen. Hier wird das Umlageverfahren</w:t>
      </w:r>
      <w:r>
        <w:rPr>
          <w:rFonts w:cs="Times New Roman" w:ascii="Times New Roman" w:hAnsi="Times New Roman"/>
          <w:sz w:val="24"/>
          <w:szCs w:val="24"/>
          <w:vertAlign w:val="superscript"/>
        </w:rPr>
        <w:t>24</w:t>
      </w:r>
      <w:r>
        <w:rPr>
          <w:rFonts w:cs="Times New Roman" w:ascii="Times New Roman" w:hAnsi="Times New Roman"/>
          <w:sz w:val="24"/>
          <w:szCs w:val="24"/>
        </w:rPr>
        <w:t xml:space="preserve"> angewendet. Die Versicherungswirtschaft dagegen, nutzt das Kapitaldeckungsverfahren</w:t>
      </w:r>
      <w:r>
        <w:rPr>
          <w:rFonts w:cs="Times New Roman" w:ascii="Times New Roman" w:hAnsi="Times New Roman"/>
          <w:sz w:val="24"/>
          <w:szCs w:val="24"/>
          <w:vertAlign w:val="superscript"/>
        </w:rPr>
        <w:t>25</w:t>
      </w:r>
      <w:r>
        <w:rPr>
          <w:rFonts w:cs="Times New Roman" w:ascii="Times New Roman" w:hAnsi="Times New Roman"/>
          <w:sz w:val="24"/>
          <w:szCs w:val="24"/>
        </w:rPr>
        <w:t xml:space="preserve"> und ist daher von demografischen Ereignissen weniger betroffen</w:t>
      </w:r>
      <w:r>
        <w:rPr>
          <w:rFonts w:cs="Times New Roman" w:ascii="Times New Roman" w:hAnsi="Times New Roman"/>
          <w:sz w:val="24"/>
          <w:szCs w:val="24"/>
          <w:vertAlign w:val="superscript"/>
        </w:rPr>
        <w:t>26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Bei der Betrachtung des Umlageverfahrens anhand der Deutschen Rentenversicherung (DRV), zeigt sich derzeit folgendes Verhältnis: zwei Erwerbstätige </w:t>
      </w:r>
      <w:r>
        <w:rPr>
          <w:rFonts w:cs="Times New Roman" w:ascii="Times New Roman" w:hAnsi="Times New Roman"/>
          <w:bCs/>
          <w:color w:val="00000A"/>
          <w:sz w:val="24"/>
          <w:szCs w:val="24"/>
        </w:rPr>
        <w:t>finanzieren einem</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Älteren den Ruhestand. </w:t>
      </w:r>
      <w:r>
        <w:rPr>
          <w:rFonts w:cs="Times New Roman" w:ascii="Times New Roman" w:hAnsi="Times New Roman"/>
          <w:bCs/>
          <w:color w:val="00000A"/>
          <w:sz w:val="24"/>
          <w:szCs w:val="24"/>
        </w:rPr>
        <w:t>Prognosen zur zukünftigen Bevölkerung</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zeigen, dass durch den Wandel der Altersstruktur </w:t>
      </w:r>
      <w:r>
        <w:rPr>
          <w:rFonts w:cs="Times New Roman" w:ascii="Times New Roman" w:hAnsi="Times New Roman"/>
          <w:bCs/>
          <w:color w:val="00000A"/>
          <w:sz w:val="24"/>
          <w:szCs w:val="24"/>
        </w:rPr>
        <w:t>das Verhältnis von Beitragszahler zu Rentenempfänger</w:t>
      </w:r>
      <w:r>
        <w:rPr>
          <w:rFonts w:cs="Times New Roman" w:ascii="Times New Roman" w:hAnsi="Times New Roman"/>
          <w:sz w:val="24"/>
          <w:szCs w:val="24"/>
        </w:rPr>
        <w:t xml:space="preserve">, sich auf einen Erwerbstätigen pro Rentner reduzieren wird.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Folglich hat dies zu einer Neugestaltung der Finanzierungspolitik geführt, um die Beitragsbelastung der Erwerbstätigen zu stabilisieren und die Rentenansprüche der kommenden Generationen zu gewährleisten. Beispiele dafür sind: das Renteneintrittsalter wurde ab 2012 bis 2029 stufenweise erhöht von 65 auf 67 Jahre. Der Nachhaltigkeitsfaktor</w:t>
      </w:r>
      <w:r>
        <w:rPr>
          <w:rFonts w:cs="Times New Roman" w:ascii="Times New Roman" w:hAnsi="Times New Roman"/>
          <w:sz w:val="24"/>
          <w:szCs w:val="24"/>
          <w:vertAlign w:val="superscript"/>
        </w:rPr>
        <w:t>27</w:t>
      </w:r>
      <w:r>
        <w:rPr>
          <w:rFonts w:cs="Times New Roman" w:ascii="Times New Roman" w:hAnsi="Times New Roman"/>
          <w:sz w:val="24"/>
          <w:szCs w:val="24"/>
        </w:rPr>
        <w:t xml:space="preserve"> wurde eingeführt, dies besagt die Höhe der jährlichen Rentenanpassungen werden sich der negativen Entwicklung der Altersstruktur anpassen</w:t>
      </w:r>
      <w:r>
        <w:rPr>
          <w:rFonts w:cs="Times New Roman" w:ascii="Times New Roman" w:hAnsi="Times New Roman"/>
          <w:sz w:val="24"/>
          <w:szCs w:val="24"/>
          <w:vertAlign w:val="superscript"/>
        </w:rPr>
        <w:t>28</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Daraus lässt sich folgendes ableiten: Die Bürger werden in den kommenden Jahren immer später in den Altersruhestand treten können und dennoch wird die Rentenleistung nicht ausreichen.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Um diesem Rückschritt entgegen zu wirken hat der Staat eingegriffen und unterstützt die Versicherungsbranche mit neuen Gesetzen, bei dem Thema Altersvorsorge. 2001 wurde das Altersvermögensgesetz (AVmG)</w:t>
      </w:r>
      <w:r>
        <w:rPr>
          <w:rFonts w:cs="Times New Roman" w:ascii="Times New Roman" w:hAnsi="Times New Roman"/>
          <w:sz w:val="24"/>
          <w:szCs w:val="24"/>
          <w:vertAlign w:val="superscript"/>
        </w:rPr>
        <w:t>29</w:t>
      </w:r>
      <w:r>
        <w:rPr>
          <w:rFonts w:cs="Times New Roman" w:ascii="Times New Roman" w:hAnsi="Times New Roman"/>
          <w:sz w:val="24"/>
          <w:szCs w:val="24"/>
        </w:rPr>
        <w:t xml:space="preserve"> und 2004 das Alterseinkünftegesetz (AltEinkG)</w:t>
      </w:r>
      <w:r>
        <w:rPr>
          <w:rFonts w:cs="Times New Roman" w:ascii="Times New Roman" w:hAnsi="Times New Roman"/>
          <w:sz w:val="24"/>
          <w:szCs w:val="24"/>
          <w:vertAlign w:val="superscript"/>
        </w:rPr>
        <w:t>30</w:t>
      </w:r>
      <w:r>
        <w:rPr>
          <w:rFonts w:cs="Times New Roman" w:ascii="Times New Roman" w:hAnsi="Times New Roman"/>
          <w:sz w:val="24"/>
          <w:szCs w:val="24"/>
        </w:rPr>
        <w:t xml:space="preserve"> eingeführt. Daraus entstanden neue Produkte wie beispielsweise die Riester oder die Basis Rente. Diese Vorsorgevarianten bringen dem Kunden steuerliche Vorteile und sichern Ihnen den staatlichen Zuschuss. Jeder bekommt somit die Möglichkeit, anhand staatlicher Fördermaßnahmen etwas für seine Altersvorsorge zu tun</w:t>
      </w:r>
      <w:r>
        <w:rPr>
          <w:rFonts w:cs="Times New Roman" w:ascii="Times New Roman" w:hAnsi="Times New Roman"/>
          <w:sz w:val="24"/>
          <w:szCs w:val="24"/>
          <w:vertAlign w:val="superscript"/>
        </w:rPr>
        <w:t>31</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weiteren Zweige der Sozialversicherung wie die Gesetzliche Kranken- und Pflegeversicherung (GKV, GPV) deuten gleichfalls auf unzureichende Versorgung hin. Durch die gestiegene Lebenserwartung und </w:t>
      </w:r>
      <w:r>
        <w:rPr>
          <w:rFonts w:cs="Times New Roman" w:ascii="Times New Roman" w:hAnsi="Times New Roman"/>
          <w:bCs/>
          <w:color w:val="00000A"/>
          <w:sz w:val="24"/>
          <w:szCs w:val="24"/>
        </w:rPr>
        <w:t>geringeren</w:t>
      </w:r>
      <w:r>
        <w:rPr>
          <w:rFonts w:cs="Times New Roman" w:ascii="Times New Roman" w:hAnsi="Times New Roman"/>
          <w:sz w:val="24"/>
          <w:szCs w:val="24"/>
        </w:rPr>
        <w:t xml:space="preserve"> Sterbefällen kommt das Leistungs- und Beitragsniveau wie bei der Deutschen Rentenversicherung, ins Schwanken</w:t>
      </w:r>
      <w:r>
        <w:rPr>
          <w:rFonts w:cs="Times New Roman" w:ascii="Times New Roman" w:hAnsi="Times New Roman"/>
          <w:sz w:val="24"/>
          <w:szCs w:val="24"/>
          <w:vertAlign w:val="superscript"/>
        </w:rPr>
        <w:t>32</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 Berliner Zeitung veranschaulicht mit Ihrem Artikel „Weniger Leistung“ und „Wird teuer“, dass die Gesetzlichen Krankenkassen Ihre Leistungen stetig senken, dafür die Beitragssätze kontinuierlich erhöhen, um die wachsenden Kosten auszugleichen</w:t>
      </w:r>
      <w:r>
        <w:rPr>
          <w:rFonts w:cs="Times New Roman" w:ascii="Times New Roman" w:hAnsi="Times New Roman"/>
          <w:sz w:val="24"/>
          <w:szCs w:val="24"/>
          <w:vertAlign w:val="superscript"/>
        </w:rPr>
        <w:t>33</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Der private Krankenversicherungssektor, bietet an dieser Stelle eine Auswahl an Tarifen, um die Leistungen GKV und GPV aufzustocken. Im Stationären-, Ambulanten-, Zahnzusatz- oder Pflegebereich</w:t>
      </w:r>
      <w:r>
        <w:rPr>
          <w:rFonts w:cs="Times New Roman" w:ascii="Times New Roman" w:hAnsi="Times New Roman"/>
          <w:sz w:val="24"/>
          <w:szCs w:val="24"/>
          <w:vertAlign w:val="superscript"/>
        </w:rPr>
        <w:t>34</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Wie wichtig es ist private Vorsorgemaßnahmen Pflegebereich zu treffen, macht das statistische Bundesamt anhand der unteren Abbildung 4 deutlich. Die Prognosen zeigen, dass sich die Anzahl der Menschen, die das 90 Lebensjahr erreichen und überschreiten im Vergleich zu 2009  im Jahr 2030 um ca. 211,9 % ansteigen werden. Gleichzeitig steigt das Risiko, das diese Menschen zum Pflegefall werden könnten</w:t>
      </w:r>
      <w:r>
        <w:rPr>
          <w:rFonts w:cs="Times New Roman" w:ascii="Times New Roman" w:hAnsi="Times New Roman"/>
          <w:sz w:val="24"/>
          <w:szCs w:val="24"/>
          <w:vertAlign w:val="superscript"/>
        </w:rPr>
        <w:t>35</w:t>
      </w:r>
      <w:r>
        <w:rPr>
          <w:rFonts w:cs="Times New Roman" w:ascii="Times New Roman" w:hAnsi="Times New Roman"/>
          <w:sz w:val="24"/>
          <w:szCs w:val="24"/>
        </w:rPr>
        <w:t>.</w:t>
      </w:r>
    </w:p>
    <w:p>
      <w:pPr>
        <w:pStyle w:val="KeinLeerraum1"/>
        <w:tabs>
          <w:tab w:val="left" w:pos="3336" w:leader="none"/>
        </w:tabs>
        <w:spacing w:lineRule="auto" w:line="360"/>
        <w:jc w:val="both"/>
        <w:rPr/>
      </w:pPr>
      <w:r>
        <w:rPr/>
        <w:drawing>
          <wp:inline distT="0" distB="0" distL="0" distR="0">
            <wp:extent cx="5219700" cy="3779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219700" cy="377952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tabs>
          <w:tab w:val="left" w:pos="3336" w:leader="none"/>
        </w:tabs>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tabs>
          <w:tab w:val="left" w:pos="3336" w:leader="none"/>
        </w:tabs>
        <w:spacing w:lineRule="auto" w:line="360"/>
        <w:jc w:val="both"/>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Abschließend zu diesem Kapitel kann davon ausgegangen werden, dass die Nachfrage nach Versicherungen steigen wird. Insbesondere in den Lebens-, Kranken- und Pflegeversicherungssparten ist ein erhöhter Bedarf abzuleiten. 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entsprechende Kompetenzen und individuellere Lösungen</w:t>
      </w:r>
      <w:r>
        <w:rPr>
          <w:rFonts w:cs="Times New Roman" w:ascii="Times New Roman" w:hAnsi="Times New Roman"/>
          <w:sz w:val="24"/>
          <w:szCs w:val="24"/>
          <w:vertAlign w:val="superscript"/>
        </w:rPr>
        <w:t>36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Dieser Schwerpunkt wird in meiner Arbeit näher untersucht.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27</w:t>
      </w:r>
      <w:r>
        <w:rPr>
          <w:rFonts w:cs="Times New Roman" w:ascii="Times New Roman" w:hAnsi="Times New Roman"/>
          <w:sz w:val="20"/>
          <w:szCs w:val="20"/>
        </w:rPr>
        <w:t>Nachhaltigkeitsfaktor:</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28</w:t>
      </w:r>
      <w:r>
        <w:rPr>
          <w:rFonts w:cs="Times New Roman" w:ascii="Times New Roman" w:hAnsi="Times New Roman"/>
          <w:sz w:val="20"/>
          <w:szCs w:val="20"/>
        </w:rPr>
        <w:t>Lehr, Alterung der Bevölkerung 2002,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GDV, Herausforderungen des demografischen Wandels für die Versicherungswirtschaft 2006, S. 22</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29</w:t>
      </w:r>
      <w:r>
        <w:rPr>
          <w:rFonts w:cs="Times New Roman" w:ascii="Times New Roman" w:hAnsi="Times New Roman"/>
          <w:sz w:val="20"/>
          <w:szCs w:val="20"/>
        </w:rPr>
        <w:t>AVmG: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30</w:t>
      </w:r>
      <w:r>
        <w:rPr>
          <w:rFonts w:cs="Times New Roman" w:ascii="Times New Roman" w:hAnsi="Times New Roman"/>
          <w:sz w:val="20"/>
          <w:szCs w:val="20"/>
        </w:rPr>
        <w:t>AltEinkG: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31</w:t>
      </w:r>
      <w:r>
        <w:rPr>
          <w:rFonts w:cs="Times New Roman" w:ascii="Times New Roman" w:hAnsi="Times New Roman"/>
          <w:sz w:val="20"/>
          <w:szCs w:val="20"/>
        </w:rPr>
        <w:t>GDV, Herausforderungen des demografischen Wandels für die Versicherungswirtschaft 2006, S. 23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32</w:t>
      </w:r>
      <w:r>
        <w:rPr>
          <w:rFonts w:cs="Times New Roman" w:ascii="Times New Roman" w:hAnsi="Times New Roman"/>
          <w:sz w:val="20"/>
          <w:szCs w:val="20"/>
        </w:rPr>
        <w:t>GDV 1990, Demographischer Wandel und Versicherungswirtschaft, S. 55</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vertAlign w:val="superscript"/>
        </w:rPr>
        <w:t>33</w:t>
      </w:r>
      <w:r>
        <w:rPr>
          <w:rFonts w:cs="Times New Roman" w:ascii="Times New Roman" w:hAnsi="Times New Roman"/>
          <w:sz w:val="20"/>
          <w:szCs w:val="20"/>
        </w:rPr>
        <w:t xml:space="preserve">Vgl. </w:t>
      </w:r>
      <w:bookmarkStart w:id="6" w:name="_GoBack"/>
      <w:bookmarkEnd w:id="6"/>
      <w:r>
        <w:rPr>
          <w:rFonts w:cs="Times New Roman" w:ascii="Times New Roman" w:hAnsi="Times New Roman"/>
          <w:sz w:val="20"/>
          <w:szCs w:val="20"/>
        </w:rPr>
        <w:t xml:space="preserve">Berliner Zeitung, Artikel vom 15.2.2005 „Weniger Leistung“ und Artikel vom 07.07.2010 „Wird teuer“ </w:t>
      </w:r>
      <w:hyperlink r:id="rId7">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KeinLeerraum1"/>
        <w:spacing w:lineRule="auto" w:line="360"/>
        <w:jc w:val="both"/>
        <w:rPr>
          <w:rStyle w:val="Internetlink"/>
          <w:rFonts w:cs="Times New Roman" w:ascii="Times New Roman" w:hAnsi="Times New Roman"/>
          <w:sz w:val="20"/>
          <w:szCs w:val="20"/>
        </w:rPr>
      </w:pPr>
      <w:hyperlink r:id="rId8">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34</w:t>
      </w:r>
      <w:r>
        <w:rPr>
          <w:rFonts w:cs="Times New Roman" w:ascii="Times New Roman" w:hAnsi="Times New Roman"/>
          <w:sz w:val="20"/>
          <w:szCs w:val="20"/>
        </w:rPr>
        <w:t>GDVHerausforderungen des demografischen Wandels für die Versicherungswirtschaft 2006, S. 39/41/43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35</w:t>
      </w:r>
      <w:r>
        <w:rPr>
          <w:rFonts w:cs="Times New Roman" w:ascii="Times New Roman" w:hAnsi="Times New Roman"/>
          <w:sz w:val="20"/>
          <w:szCs w:val="20"/>
        </w:rPr>
        <w:t>Statistisches Bundesamt, Auswirkungen auf Krankenhausbehandlungen und Pflegebedürftige im Bund und in den Ländern 2010, Heft 2, S.5</w:t>
      </w:r>
    </w:p>
    <w:p>
      <w:pPr>
        <w:pStyle w:val="Normal"/>
        <w:suppressAutoHyphens w:val="false"/>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36</w:t>
      </w:r>
      <w:r>
        <w:rPr>
          <w:rFonts w:cs="Times New Roman" w:ascii="Times New Roman" w:hAnsi="Times New Roman"/>
          <w:sz w:val="20"/>
          <w:szCs w:val="20"/>
        </w:rPr>
        <w:t>GDV,Herausforderungen des demografischen Wandels für die Versicherungswirtschaft 2006, S. 50</w:t>
      </w:r>
    </w:p>
    <w:p>
      <w:pPr>
        <w:pStyle w:val="Berschrift1"/>
        <w:pageBreakBefore/>
        <w:rPr/>
      </w:pPr>
      <w:bookmarkStart w:id="7" w:name="_Toc412368725"/>
      <w:bookmarkEnd w:id="7"/>
      <w:r>
        <w:rPr/>
        <w:t>Literaturverzeichnis</w:t>
      </w:r>
    </w:p>
    <w:p>
      <w:pPr>
        <w:pStyle w:val="Normal"/>
        <w:rPr/>
      </w:pPr>
      <w:r>
        <w:rPr/>
      </w:r>
    </w:p>
    <w:p>
      <w:pPr>
        <w:pStyle w:val="ListParagraph"/>
        <w:spacing w:before="0" w:after="200"/>
        <w:ind w:left="720" w:right="0" w:hanging="0"/>
        <w:contextualSpacing/>
        <w:rPr/>
      </w:pPr>
      <w:r>
        <w:rPr/>
      </w:r>
    </w:p>
    <w:sectPr>
      <w:headerReference w:type="default" r:id="rId9"/>
      <w:headerReference w:type="first" r:id="rId10"/>
      <w:footerReference w:type="default" r:id="rId11"/>
      <w:footnotePr>
        <w:numFmt w:val="decimal"/>
      </w:footnotePr>
      <w:type w:val="nextPage"/>
      <w:pgSz w:w="11906" w:h="16838"/>
      <w:pgMar w:left="2835" w:right="851" w:header="737" w:top="1134" w:footer="1701" w:bottom="1758"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KeinLeerraum1"/>
        <w:spacing w:lineRule="auto" w:line="360"/>
        <w:jc w:val="both"/>
        <w:rPr>
          <w:rFonts w:cs="Times New Roman" w:ascii="Times New Roman" w:hAnsi="Times New Roman"/>
          <w:sz w:val="20"/>
          <w:szCs w:val="20"/>
        </w:rPr>
      </w:pPr>
      <w:r>
        <w:rPr>
          <w:rStyle w:val="Footnotereference"/>
        </w:rPr>
        <w:footnoteRef/>
        <w:tab/>
      </w:r>
      <w:r>
        <w:rPr/>
        <w:t xml:space="preserve"> </w:t>
      </w:r>
      <w:r>
        <w:rPr>
          <w:rFonts w:cs="Times New Roman" w:ascii="Times New Roman" w:hAnsi="Times New Roman"/>
        </w:rPr>
        <w:t>Statistische Ämter des Bundes u. der Länder 2011, Demografischer Wandel, S. 6</w:t>
      </w:r>
      <w:r>
        <w:rPr>
          <w:rFonts w:cs="Times New Roman" w:ascii="Times New Roman" w:hAnsi="Times New Roman"/>
          <w:sz w:val="20"/>
          <w:szCs w:val="20"/>
          <w:vertAlign w:val="superscript"/>
        </w:rPr>
        <w:t>2</w:t>
      </w:r>
      <w:r>
        <w:rPr>
          <w:rFonts w:cs="Times New Roman" w:ascii="Times New Roman" w:hAnsi="Times New Roman"/>
          <w:sz w:val="20"/>
          <w:szCs w:val="20"/>
        </w:rPr>
        <w:t xml:space="preserve"> Mackensen 2008, Forschung und Lehre, S. 1</w:t>
      </w:r>
      <w:r>
        <w:rPr>
          <w:rFonts w:cs="Times New Roman" w:ascii="Times New Roman" w:hAnsi="Times New Roman"/>
          <w:sz w:val="20"/>
          <w:szCs w:val="20"/>
          <w:vertAlign w:val="superscript"/>
        </w:rPr>
        <w:tab/>
        <w:t xml:space="preserve">3 </w:t>
      </w:r>
      <w:r>
        <w:rPr>
          <w:rFonts w:cs="Times New Roman" w:ascii="Times New Roman" w:hAnsi="Times New Roman"/>
          <w:sz w:val="20"/>
          <w:szCs w:val="20"/>
        </w:rPr>
        <w:t>Karsch/Hoßmann 2010,Deutschlands Regionen, S.1/5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ab/>
        <w:t>4</w:t>
      </w:r>
      <w:r>
        <w:rPr>
          <w:rFonts w:cs="Times New Roman" w:ascii="Times New Roman" w:hAnsi="Times New Roman"/>
          <w:sz w:val="20"/>
          <w:szCs w:val="20"/>
        </w:rPr>
        <w:t xml:space="preserve"> Pack u.a. 2000, Zukunftsreport Demographischer Wandel, S. 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ab/>
        <w:t>5</w:t>
      </w:r>
      <w:r>
        <w:rPr>
          <w:rFonts w:cs="Times New Roman" w:ascii="Times New Roman" w:hAnsi="Times New Roman"/>
          <w:sz w:val="20"/>
          <w:szCs w:val="20"/>
        </w:rPr>
        <w:t>Karsch/Hoßmann 2010, Deutschlands Regionen, S. 2</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Footnotetext"/>
        <w:rPr/>
      </w:pPr>
      <w:r>
        <w:rPr/>
      </w:r>
    </w:p>
    <w:p>
      <w:pPr>
        <w:pStyle w:val="Funote"/>
        <w:rPr/>
      </w:pPr>
      <w:r>
        <w:rPr/>
      </w:r>
    </w:p>
    <w:p>
      <w:pPr>
        <w:pStyle w:val="Funote"/>
        <w:spacing w:before="0" w:after="20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center"/>
      <w:rPr/>
    </w:pPr>
    <w:r>
      <w:rPr/>
      <w:fldChar w:fldCharType="begin"/>
    </w:r>
    <w:r>
      <w:instrText> PAGE </w:instrText>
    </w:r>
    <w:r>
      <w:fldChar w:fldCharType="separate"/>
    </w:r>
    <w:r>
      <w:t>14</w:t>
    </w:r>
    <w:r>
      <w:fldChar w:fldCharType="end"/>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b/>
    </w:r>
  </w:p>
</w:hdr>
</file>

<file path=word/settings.xml><?xml version="1.0" encoding="utf-8"?>
<w:settings xmlns:w="http://schemas.openxmlformats.org/wordprocessingml/2006/main">
  <w:zoom w:percent="18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360"/>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iPriority="0"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6105e"/>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e039e0"/>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e039e0"/>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semiHidden/>
    <w:unhideWhenUsed/>
    <w:link w:val="berschrift3Zchn"/>
    <w:rsid w:val="009b04b5"/>
    <w:basedOn w:val="Normal"/>
    <w:next w:val="Normal"/>
    <w:pPr>
      <w:keepNext/>
      <w:keepLines/>
      <w:spacing w:before="40" w:after="0"/>
      <w:outlineLvl w:val="2"/>
    </w:pPr>
    <w:rPr>
      <w:rFonts w:ascii="Cambria" w:hAnsi="Cambria" w:cs=""/>
      <w:color w:val="243F60"/>
      <w:sz w:val="24"/>
      <w:szCs w:val="24"/>
    </w:rPr>
  </w:style>
  <w:style w:type="character" w:styleId="DefaultParagraphFont" w:default="1">
    <w:name w:val="Default Paragraph Font"/>
    <w:uiPriority w:val="1"/>
    <w:semiHidden/>
    <w:unhideWhenUsed/>
    <w:rPr/>
  </w:style>
  <w:style w:type="character" w:styleId="Internetlink">
    <w:name w:val="Internetlink"/>
    <w:uiPriority w:val="99"/>
    <w:rsid w:val="0056105e"/>
    <w:rPr>
      <w:color w:val="0000FF"/>
      <w:u w:val="single"/>
      <w:lang w:val="zxx" w:eastAsia="zxx" w:bidi="zxx"/>
    </w:rPr>
  </w:style>
  <w:style w:type="character" w:styleId="FuzeileZchn" w:customStyle="1">
    <w:name w:val="Fußzeile Zchn"/>
    <w:link w:val="Fuzeile"/>
    <w:rsid w:val="0056105e"/>
    <w:basedOn w:val="DefaultParagraphFont"/>
    <w:rPr>
      <w:rFonts w:ascii="Calibri" w:hAnsi="Calibri" w:eastAsia="WenQuanYi Zen Hei" w:cs="Calibri"/>
      <w:color w:val="00000A"/>
    </w:rPr>
  </w:style>
  <w:style w:type="character" w:styleId="SprechblasentextZchn" w:customStyle="1">
    <w:name w:val="Sprechblasentext Zchn"/>
    <w:uiPriority w:val="99"/>
    <w:semiHidden/>
    <w:link w:val="Sprechblasentext"/>
    <w:rsid w:val="0056105e"/>
    <w:basedOn w:val="DefaultParagraphFont"/>
    <w:rPr>
      <w:rFonts w:ascii="Tahoma" w:hAnsi="Tahoma" w:eastAsia="WenQuanYi Zen Hei" w:cs="Tahoma"/>
      <w:color w:val="00000A"/>
      <w:sz w:val="16"/>
      <w:szCs w:val="16"/>
    </w:rPr>
  </w:style>
  <w:style w:type="character" w:styleId="FunotentextZchn" w:customStyle="1">
    <w:name w:val="Fußnotentext Zchn"/>
    <w:uiPriority w:val="99"/>
    <w:link w:val="Funotentext"/>
    <w:rsid w:val="006e708e"/>
    <w:basedOn w:val="DefaultParagraphFont"/>
    <w:rPr>
      <w:rFonts w:ascii="Calibri" w:hAnsi="Calibri" w:eastAsia="WenQuanYi Zen Hei" w:cs="Calibri"/>
      <w:color w:val="00000A"/>
      <w:sz w:val="20"/>
      <w:szCs w:val="20"/>
    </w:rPr>
  </w:style>
  <w:style w:type="character" w:styleId="Footnotereference">
    <w:name w:val="footnote reference"/>
    <w:uiPriority w:val="99"/>
    <w:semiHidden/>
    <w:unhideWhenUsed/>
    <w:rsid w:val="006e708e"/>
    <w:basedOn w:val="DefaultParagraphFont"/>
    <w:rPr>
      <w:vertAlign w:val="superscript"/>
    </w:rPr>
  </w:style>
  <w:style w:type="character" w:styleId="KopfzeileZchn" w:customStyle="1">
    <w:name w:val="Kopfzeile Zchn"/>
    <w:uiPriority w:val="99"/>
    <w:link w:val="Kopfzeile"/>
    <w:rsid w:val="006e708e"/>
    <w:basedOn w:val="DefaultParagraphFont"/>
    <w:rPr>
      <w:rFonts w:ascii="Calibri" w:hAnsi="Calibri" w:eastAsia="WenQuanYi Zen Hei" w:cs="Calibri"/>
      <w:color w:val="00000A"/>
    </w:rPr>
  </w:style>
  <w:style w:type="character" w:styleId="Berschrift1Zchn" w:customStyle="1">
    <w:name w:val="Überschrift 1 Zchn"/>
    <w:uiPriority w:val="9"/>
    <w:link w:val="berschrift1"/>
    <w:rsid w:val="00e039e0"/>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e039e0"/>
    <w:basedOn w:val="DefaultParagraphFont"/>
    <w:rPr>
      <w:rFonts w:ascii="Cambria" w:hAnsi="Cambria" w:cs=""/>
      <w:b/>
      <w:bCs/>
      <w:color w:val="4F81BD"/>
      <w:sz w:val="26"/>
      <w:szCs w:val="26"/>
    </w:rPr>
  </w:style>
  <w:style w:type="character" w:styleId="FollowedHyperlink">
    <w:name w:val="FollowedHyperlink"/>
    <w:uiPriority w:val="99"/>
    <w:semiHidden/>
    <w:unhideWhenUsed/>
    <w:rsid w:val="00af0409"/>
    <w:basedOn w:val="DefaultParagraphFont"/>
    <w:rPr>
      <w:color w:val="800080"/>
      <w:u w:val="single"/>
    </w:rPr>
  </w:style>
  <w:style w:type="character" w:styleId="Berschrift3Zchn" w:customStyle="1">
    <w:name w:val="Überschrift 3 Zchn"/>
    <w:uiPriority w:val="9"/>
    <w:semiHidden/>
    <w:link w:val="berschrift3"/>
    <w:rsid w:val="009b04b5"/>
    <w:basedOn w:val="DefaultParagraphFont"/>
    <w:rPr>
      <w:rFonts w:ascii="Cambria" w:hAnsi="Cambria" w:cs=""/>
      <w:color w:val="243F60"/>
      <w:sz w:val="24"/>
      <w:szCs w:val="24"/>
    </w:rPr>
  </w:style>
  <w:style w:type="character" w:styleId="ListLabel1">
    <w:name w:val="ListLabel 1"/>
    <w:rPr>
      <w:sz w:val="24"/>
    </w:rPr>
  </w:style>
  <w:style w:type="character" w:styleId="ListLabel2">
    <w:name w:val="ListLabel 2"/>
    <w:rPr>
      <w:rFonts w:cs="Courier New"/>
    </w:rPr>
  </w:style>
  <w:style w:type="character" w:styleId="Funotenanker">
    <w:name w:val="Fußnotenanker"/>
    <w:rPr>
      <w:vertAlign w:val="superscript"/>
    </w:rPr>
  </w:style>
  <w:style w:type="character" w:styleId="Endnotenanker">
    <w:name w:val="Endnotenanker"/>
    <w:rPr>
      <w:vertAlign w:val="superscript"/>
    </w:rPr>
  </w:style>
  <w:style w:type="character" w:styleId="Verzeichnissprung">
    <w:name w:val="Verzeichnissprung"/>
    <w:rPr/>
  </w:style>
  <w:style w:type="character" w:styleId="Funotenzeichen">
    <w:name w:val="Fußnotenzeichen"/>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Fuzeile">
    <w:name w:val="Fußzeile"/>
    <w:link w:val="FuzeileZchn"/>
    <w:rsid w:val="0056105e"/>
    <w:basedOn w:val="Normal"/>
    <w:pPr>
      <w:tabs>
        <w:tab w:val="center" w:pos="4536" w:leader="none"/>
        <w:tab w:val="right" w:pos="9072" w:leader="none"/>
      </w:tabs>
      <w:spacing w:lineRule="auto" w:line="240" w:before="0" w:after="0"/>
    </w:pPr>
    <w:rPr/>
  </w:style>
  <w:style w:type="paragraph" w:styleId="KeinLeerraum1" w:customStyle="1">
    <w:name w:val="Kein Leerraum1"/>
    <w:rsid w:val="0056105e"/>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paragraph" w:styleId="BalloonText">
    <w:name w:val="Balloon Text"/>
    <w:uiPriority w:val="99"/>
    <w:semiHidden/>
    <w:unhideWhenUsed/>
    <w:link w:val="SprechblasentextZchn"/>
    <w:rsid w:val="0056105e"/>
    <w:basedOn w:val="Normal"/>
    <w:pPr>
      <w:spacing w:lineRule="auto" w:line="240" w:before="0" w:after="0"/>
    </w:pPr>
    <w:rPr>
      <w:rFonts w:ascii="Tahoma" w:hAnsi="Tahoma" w:cs="Tahoma"/>
      <w:sz w:val="16"/>
      <w:szCs w:val="16"/>
    </w:rPr>
  </w:style>
  <w:style w:type="paragraph" w:styleId="Footnotetext">
    <w:name w:val="footnote text"/>
    <w:uiPriority w:val="99"/>
    <w:unhideWhenUsed/>
    <w:link w:val="FunotentextZchn"/>
    <w:rsid w:val="006e708e"/>
    <w:basedOn w:val="Normal"/>
    <w:pPr>
      <w:spacing w:lineRule="auto" w:line="240" w:before="0" w:after="0"/>
    </w:pPr>
    <w:rPr>
      <w:sz w:val="20"/>
      <w:szCs w:val="20"/>
    </w:rPr>
  </w:style>
  <w:style w:type="paragraph" w:styleId="Kopfzeile">
    <w:name w:val="Kopfzeile"/>
    <w:uiPriority w:val="99"/>
    <w:unhideWhenUsed/>
    <w:link w:val="KopfzeileZchn"/>
    <w:rsid w:val="006e708e"/>
    <w:basedOn w:val="Normal"/>
    <w:pPr>
      <w:tabs>
        <w:tab w:val="center" w:pos="4536" w:leader="none"/>
        <w:tab w:val="right" w:pos="9072" w:leader="none"/>
      </w:tabs>
      <w:spacing w:lineRule="auto" w:line="240" w:before="0" w:after="0"/>
    </w:pPr>
    <w:rPr/>
  </w:style>
  <w:style w:type="paragraph" w:styleId="Inhaltsverzeichnisberschrift">
    <w:name w:val="Inhaltsverzeichnis Überschrift"/>
    <w:uiPriority w:val="39"/>
    <w:qFormat/>
    <w:semiHidden/>
    <w:unhideWhenUsed/>
    <w:rsid w:val="00e039e0"/>
    <w:basedOn w:val="Berschrift1"/>
    <w:next w:val="Normal"/>
    <w:pPr>
      <w:suppressAutoHyphens w:val="false"/>
    </w:pPr>
    <w:rPr>
      <w:lang w:eastAsia="de-DE"/>
    </w:rPr>
  </w:style>
  <w:style w:type="paragraph" w:styleId="Inhaltsverzeichnis1">
    <w:name w:val="Inhaltsverzeichnis 1"/>
    <w:uiPriority w:val="39"/>
    <w:unhideWhenUsed/>
    <w:rsid w:val="00e039e0"/>
    <w:basedOn w:val="Normal"/>
    <w:next w:val="Normal"/>
    <w:autoRedefine/>
    <w:pPr>
      <w:spacing w:before="0" w:after="100"/>
    </w:pPr>
    <w:rPr/>
  </w:style>
  <w:style w:type="paragraph" w:styleId="Inhaltsverzeichnis2">
    <w:name w:val="Inhaltsverzeichnis 2"/>
    <w:uiPriority w:val="39"/>
    <w:unhideWhenUsed/>
    <w:rsid w:val="00e039e0"/>
    <w:basedOn w:val="Normal"/>
    <w:next w:val="Normal"/>
    <w:autoRedefine/>
    <w:pPr>
      <w:spacing w:before="0" w:after="100"/>
      <w:ind w:left="220" w:right="0" w:hanging="0"/>
    </w:pPr>
    <w:rPr/>
  </w:style>
  <w:style w:type="paragraph" w:styleId="ListParagraph">
    <w:name w:val="List Paragraph"/>
    <w:uiPriority w:val="34"/>
    <w:qFormat/>
    <w:rsid w:val="00bd6267"/>
    <w:basedOn w:val="Normal"/>
    <w:pPr>
      <w:spacing w:before="0" w:after="200"/>
      <w:ind w:left="720" w:right="0" w:hanging="0"/>
      <w:contextualSpacing/>
    </w:pPr>
    <w:rPr/>
  </w:style>
  <w:style w:type="paragraph" w:styleId="Bibliography">
    <w:name w:val="Bibliography"/>
    <w:uiPriority w:val="37"/>
    <w:unhideWhenUsed/>
    <w:rsid w:val="00835d1d"/>
    <w:basedOn w:val="Normal"/>
    <w:next w:val="Normal"/>
    <w:pPr/>
    <w:rPr/>
  </w:style>
  <w:style w:type="paragraph" w:styleId="Funote">
    <w:name w:val="Fußnote"/>
    <w:basedOn w:val="Normal"/>
    <w:pPr/>
    <w:rPr/>
  </w:style>
  <w:style w:type="paragraph" w:styleId="Rahmeninhalt">
    <w:name w:val="Rahmeninhalt"/>
    <w:basedOn w:val="Normal"/>
    <w:pPr/>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hyperlink" Target="https://www.destatis.de/bevoelkerungspyramide/" TargetMode="External"/><Relationship Id="rId4" Type="http://schemas.openxmlformats.org/officeDocument/2006/relationships/image" Target="media/image5.png"/><Relationship Id="rId5" Type="http://schemas.openxmlformats.org/officeDocument/2006/relationships/hyperlink" Target="https://www.destatis.de/bevoelkerungspyramide/" TargetMode="External"/><Relationship Id="rId6" Type="http://schemas.openxmlformats.org/officeDocument/2006/relationships/image" Target="media/image6.png"/><Relationship Id="rId7" Type="http://schemas.openxmlformats.org/officeDocument/2006/relationships/hyperlink" Target="http://www.berliner-zeitung.de/archiv/welche-probleme-es-mit-der-krankenkasse-geben-kann---und-wie-man-sie-angeht-weniger-leistung,10810590,10258538.html" TargetMode="External"/><Relationship Id="rId8"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Book</b:SourceType>
    <b:Guid>{36EFB19F-F0F8-468E-91B5-21D2E18EC6DB}</b:Guid>
    <b:RefOrder>1</b:RefOrder>
  </b:Source>
  <b:Source>
    <b:Tag>Sta11</b:Tag>
    <b:SourceType>Book</b:SourceType>
    <b:Guid>{1EC21E76-D0D6-411C-A8BB-397AC1D7B411}</b:Guid>
    <b:Title>Demografischder Wandel</b:Title>
    <b:Year>2011</b:Year>
    <b:Author>
      <b:Author>
        <b:NameList>
          <b:Person>
            <b:Last>Lädner</b:Last>
            <b:First>Statistische</b:First>
            <b:Middle>Ämter des Bundes und der</b:Middle>
          </b:Person>
        </b:NameList>
      </b:Author>
    </b:Author>
    <b:RefOrder>2</b:RefOrder>
  </b:Source>
</b:Sources>
</file>

<file path=customXml/itemProps1.xml><?xml version="1.0" encoding="utf-8"?>
<ds:datastoreItem xmlns:ds="http://schemas.openxmlformats.org/officeDocument/2006/customXml" ds:itemID="{636A8F36-EA00-44C4-9966-4EF2FC5D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2015-02-22T10:15:00Z</dcterms:created>
  <dc:creator>meze0512</dc:creator>
  <dc:language>de-DE</dc:language>
  <cp:lastModifiedBy>Metin Ünlü</cp:lastModifiedBy>
  <dcterms:modified xsi:type="dcterms:W3CDTF">2015-03-02T12:47:00Z</dcterms:modified>
  <cp:revision>201</cp:revision>
</cp:coreProperties>
</file>