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Demografischer Wandel</w:t>
      </w:r>
    </w:p>
    <w:p>
      <w:pPr>
        <w:pStyle w:val="NoSpacing"/>
        <w:spacing w:lineRule="auto" w:line="360"/>
        <w:rPr>
          <w:rFonts w:cs="Times New Roman" w:ascii="Times New Roman" w:hAnsi="Times New Roman"/>
          <w:b/>
          <w:sz w:val="24"/>
          <w:szCs w:val="24"/>
        </w:rPr>
      </w:pPr>
      <w:r>
        <w:rPr>
          <w:rFonts w:cs="Times New Roman" w:ascii="Times New Roman" w:hAnsi="Times New Roman"/>
          <w:b/>
          <w:sz w:val="24"/>
          <w:szCs w:val="24"/>
        </w:rPr>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Bedeutung</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Laut dem Statistischen Bundesamt kann man für die kommende Jahrzehnte anhand von bestimmten Ereignissen wie Anzahl, Altersgruppen und Lebensräume der Bevölkerung Prognosen entwickeln.</w:t>
      </w:r>
      <w:r>
        <w:rPr>
          <w:rFonts w:cs="Times New Roman" w:ascii="Times New Roman" w:hAnsi="Times New Roman"/>
          <w:sz w:val="24"/>
          <w:szCs w:val="24"/>
          <w:vertAlign w:val="superscript"/>
        </w:rPr>
        <w:t>1</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Der demografische Wandel bezeichnet nach Mackensen die langfristige Entwicklung der Bevölkerungsstruktur eines Landes innerhalb eines  bestimmten Zeitraumes. Folgende Faktoren spielen hierbei eine Rolle, wie die Anzahl der Geburten und der Sterbefälle. Ebenso wirken sich Migrationsflüsse auf den demografischen Wandel aus, wie die Auswanderungspolitik deutscher Bürger und die Zuwanderung von Ausländern.</w:t>
      </w:r>
      <w:r>
        <w:rPr>
          <w:rFonts w:cs="Times New Roman" w:ascii="Times New Roman" w:hAnsi="Times New Roman"/>
          <w:sz w:val="24"/>
          <w:szCs w:val="24"/>
          <w:vertAlign w:val="superscript"/>
        </w:rPr>
        <w:t>2</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Bezogen auf die Bundesrepublik Deutschland bedeutet der Begriff Demografischer Wandel die zunehmende Alterung der Gesellschaft einhergehend mit einem Rückgang der Bevölkerungszahl insgesamt.</w:t>
      </w:r>
      <w:r>
        <w:rPr>
          <w:rFonts w:cs="Times New Roman" w:ascii="Times New Roman" w:hAnsi="Times New Roman"/>
          <w:sz w:val="24"/>
          <w:szCs w:val="24"/>
          <w:vertAlign w:val="superscript"/>
        </w:rPr>
        <w:t>3</w:t>
      </w:r>
      <w:r>
        <w:rPr>
          <w:rFonts w:cs="Times New Roman" w:ascii="Times New Roman" w:hAnsi="Times New Roman"/>
          <w:sz w:val="24"/>
          <w:szCs w:val="24"/>
        </w:rPr>
        <w:t xml:space="preserve"> Die sinkende Geburtenzahlen, steigende Lebenserwartung und Rückgang der Sterberaten tragen zur Verschiebung der Altersstruktur bei. </w:t>
      </w:r>
      <w:r>
        <w:rPr>
          <w:rFonts w:cs="Times New Roman" w:ascii="Times New Roman" w:hAnsi="Times New Roman"/>
          <w:sz w:val="24"/>
          <w:szCs w:val="24"/>
          <w:vertAlign w:val="superscript"/>
        </w:rPr>
        <w:t>4</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1</w:t>
      </w:r>
      <w:commentRangeStart w:id="0"/>
      <w:r>
        <w:rPr>
          <w:rFonts w:cs="Times New Roman" w:ascii="Times New Roman" w:hAnsi="Times New Roman"/>
          <w:sz w:val="20"/>
          <w:szCs w:val="20"/>
          <w:vertAlign w:val="superscript"/>
        </w:rPr>
      </w:r>
      <w:r>
        <w:rPr>
          <w:rFonts w:cs="Times New Roman" w:ascii="Times New Roman" w:hAnsi="Times New Roman"/>
          <w:sz w:val="20"/>
          <w:szCs w:val="20"/>
        </w:rPr>
        <w:t>Vgl. Statistische Ämter des Bundes u. der Länder 2011, Demografischer Wandel, S. 6</w:t>
      </w:r>
      <w:commentRangeEnd w:id="0"/>
      <w:r>
        <w:rPr>
          <w:rFonts w:cs="Times New Roman" w:ascii="Times New Roman" w:hAnsi="Times New Roman"/>
          <w:sz w:val="20"/>
          <w:szCs w:val="20"/>
        </w:rPr>
      </w:r>
      <w:r>
        <w:rPr>
          <w:rFonts w:cs="Times New Roman" w:ascii="Times New Roman" w:hAnsi="Times New Roman"/>
          <w:sz w:val="20"/>
          <w:szCs w:val="20"/>
        </w:rPr>
        <w:commentReference w:id="0"/>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2</w:t>
      </w:r>
      <w:r>
        <w:rPr>
          <w:rFonts w:cs="Times New Roman" w:ascii="Times New Roman" w:hAnsi="Times New Roman"/>
          <w:sz w:val="20"/>
          <w:szCs w:val="20"/>
        </w:rPr>
        <w:t>Vgl. Mackensen 2008, Forschung und Lehre, S. 1</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3</w:t>
      </w:r>
      <w:r>
        <w:rPr>
          <w:rFonts w:cs="Times New Roman" w:ascii="Times New Roman" w:hAnsi="Times New Roman"/>
          <w:sz w:val="20"/>
          <w:szCs w:val="20"/>
        </w:rPr>
        <w:t>Vgl. Karsch/Hoßmann 2010,Deutschlands Regionen, S. 1/5</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4</w:t>
      </w:r>
      <w:r>
        <w:rPr>
          <w:rFonts w:cs="Times New Roman" w:ascii="Times New Roman" w:hAnsi="Times New Roman"/>
          <w:sz w:val="20"/>
          <w:szCs w:val="20"/>
        </w:rPr>
        <w:t>Vgl. Pack u.a. 2000, Zukunftsreport Demographischer Wandel, S. 8</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Ursachen</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Mit dem Beginn der Industrialisierung zum Ende des 19 Jahrhunderts,  gab es einen entscheidenden Wandel in der Gesellschaft, sowie in der Wirtschaft</w:t>
      </w:r>
      <w:r>
        <w:rPr>
          <w:rFonts w:cs="Times New Roman" w:ascii="Times New Roman" w:hAnsi="Times New Roman"/>
          <w:sz w:val="24"/>
          <w:szCs w:val="24"/>
        </w:rPr>
        <w:commentReference w:id="1"/>
      </w:r>
      <w:r>
        <w:rPr>
          <w:rFonts w:cs="Times New Roman" w:ascii="Times New Roman" w:hAnsi="Times New Roman"/>
          <w:sz w:val="24"/>
          <w:szCs w:val="24"/>
        </w:rPr>
        <w:t>.</w:t>
      </w:r>
      <w:r>
        <w:rPr>
          <w:rFonts w:cs="Times New Roman" w:ascii="Times New Roman" w:hAnsi="Times New Roman"/>
          <w:sz w:val="24"/>
          <w:szCs w:val="24"/>
          <w:vertAlign w:val="superscript"/>
        </w:rPr>
        <w:t xml:space="preserve">5  </w:t>
      </w:r>
      <w:r>
        <w:rPr>
          <w:rFonts w:cs="Times New Roman" w:ascii="Times New Roman" w:hAnsi="Times New Roman"/>
          <w:sz w:val="24"/>
          <w:szCs w:val="24"/>
        </w:rPr>
        <w:t xml:space="preserve">Dieser Wechsel hatte Folgen: den Rückgang der Geburtenrate, weil zum einen die Säuglings- und Kindersterberate stark gesunken ist und zum anderen die Bedeutung des Kindes für die Familien in Hinsicht auf Arbeitskraft und Stütze im Alter geändert hat. </w:t>
      </w:r>
      <w:commentRangeStart w:id="2"/>
      <w:r>
        <w:rPr>
          <w:rFonts w:cs="Times New Roman" w:ascii="Times New Roman" w:hAnsi="Times New Roman"/>
          <w:sz w:val="24"/>
          <w:szCs w:val="24"/>
        </w:rPr>
        <w:t>Der steigende Bildungsgrad vor allem bei Frauen und längere Ausbildungszeiten tragen zur späteren Familienplanung bei</w:t>
      </w:r>
      <w:commentRangeEnd w:id="2"/>
      <w:r>
        <w:rPr>
          <w:rFonts w:cs="Times New Roman" w:ascii="Times New Roman" w:hAnsi="Times New Roman"/>
          <w:sz w:val="24"/>
          <w:szCs w:val="24"/>
        </w:rPr>
      </w:r>
      <w:r>
        <w:rPr>
          <w:rFonts w:cs="Times New Roman" w:ascii="Times New Roman" w:hAnsi="Times New Roman"/>
          <w:sz w:val="24"/>
          <w:szCs w:val="24"/>
        </w:rPr>
        <w:commentReference w:id="2"/>
      </w:r>
      <w:r>
        <w:rPr>
          <w:rFonts w:cs="Times New Roman" w:ascii="Times New Roman" w:hAnsi="Times New Roman"/>
          <w:sz w:val="24"/>
          <w:szCs w:val="24"/>
        </w:rPr>
        <w:t xml:space="preserve">. Dies bedeutet zugleich, dass der </w:t>
      </w:r>
      <w:commentRangeStart w:id="3"/>
      <w:r>
        <w:rPr>
          <w:rFonts w:cs="Times New Roman" w:ascii="Times New Roman" w:hAnsi="Times New Roman"/>
          <w:sz w:val="24"/>
          <w:szCs w:val="24"/>
        </w:rPr>
        <w:t>biologische Reproduktionszeitraum</w:t>
      </w:r>
      <w:commentRangeEnd w:id="3"/>
      <w:r>
        <w:rPr>
          <w:rFonts w:cs="Times New Roman" w:ascii="Times New Roman" w:hAnsi="Times New Roman"/>
          <w:sz w:val="24"/>
          <w:szCs w:val="24"/>
        </w:rPr>
      </w:r>
      <w:r>
        <w:rPr>
          <w:rFonts w:cs="Times New Roman" w:ascii="Times New Roman" w:hAnsi="Times New Roman"/>
          <w:sz w:val="24"/>
          <w:szCs w:val="24"/>
        </w:rPr>
        <w:commentReference w:id="3"/>
      </w:r>
      <w:r>
        <w:rPr>
          <w:rFonts w:cs="Times New Roman" w:ascii="Times New Roman" w:hAnsi="Times New Roman"/>
          <w:sz w:val="24"/>
          <w:szCs w:val="24"/>
        </w:rPr>
        <w:t xml:space="preserve"> sich verkürzt hat.</w:t>
      </w:r>
      <w:r>
        <w:rPr>
          <w:rFonts w:cs="Times New Roman" w:ascii="Times New Roman" w:hAnsi="Times New Roman"/>
          <w:sz w:val="24"/>
          <w:szCs w:val="24"/>
          <w:vertAlign w:val="superscript"/>
        </w:rPr>
        <w:t xml:space="preserve">6  </w:t>
      </w:r>
    </w:p>
    <w:p>
      <w:pPr>
        <w:pStyle w:val="NoSpacing"/>
        <w:spacing w:lineRule="auto" w:line="360"/>
        <w:rPr>
          <w:rFonts w:cs="Times New Roman" w:ascii="Times New Roman" w:hAnsi="Times New Roman"/>
          <w:sz w:val="24"/>
          <w:szCs w:val="24"/>
          <w:vertAlign w:val="superscript"/>
        </w:rPr>
      </w:pPr>
      <w:commentRangeStart w:id="4"/>
      <w:r>
        <w:rPr>
          <w:rFonts w:cs="Times New Roman" w:ascii="Times New Roman" w:hAnsi="Times New Roman"/>
          <w:i/>
          <w:iCs/>
          <w:color w:val="FF950E"/>
          <w:sz w:val="24"/>
          <w:szCs w:val="24"/>
        </w:rPr>
        <w:t>Ein weiteres Thema</w:t>
      </w:r>
      <w:commentRangeEnd w:id="4"/>
      <w:r>
        <w:rPr>
          <w:rFonts w:cs="Times New Roman" w:ascii="Times New Roman" w:hAnsi="Times New Roman"/>
          <w:i/>
          <w:iCs/>
          <w:color w:val="FF950E"/>
          <w:sz w:val="24"/>
          <w:szCs w:val="24"/>
        </w:rPr>
      </w:r>
      <w:r>
        <w:rPr>
          <w:rFonts w:cs="Times New Roman" w:ascii="Times New Roman" w:hAnsi="Times New Roman"/>
          <w:i/>
          <w:iCs/>
          <w:color w:val="FF950E"/>
          <w:sz w:val="24"/>
          <w:szCs w:val="24"/>
        </w:rPr>
        <w:commentReference w:id="4"/>
      </w:r>
      <w:r>
        <w:rPr>
          <w:rFonts w:cs="Times New Roman" w:ascii="Times New Roman" w:hAnsi="Times New Roman"/>
          <w:sz w:val="24"/>
          <w:szCs w:val="24"/>
        </w:rPr>
        <w:t xml:space="preserve"> ist die höhere Lebenserwartung und das Sinken des Sterberisikos. Durch  gestiegenen Lebensstandard und der Verbesserung im medizinischen Bereich nimmt die Anzahl der älteren Bevölkerung zu. Im Vergleich zu früher sind die Älteren </w:t>
      </w:r>
      <w:commentRangeStart w:id="5"/>
      <w:r>
        <w:rPr>
          <w:rFonts w:cs="Times New Roman" w:ascii="Times New Roman" w:hAnsi="Times New Roman"/>
          <w:sz w:val="24"/>
          <w:szCs w:val="24"/>
        </w:rPr>
        <w:t>Menschen heutzutage gesünder und durch Ihre höheren Bildungsabschlüsse lassen Ihre geistigen Fähigkeiten viel später nach</w:t>
      </w:r>
      <w:commentRangeEnd w:id="5"/>
      <w:r>
        <w:rPr>
          <w:rFonts w:cs="Times New Roman" w:ascii="Times New Roman" w:hAnsi="Times New Roman"/>
          <w:sz w:val="24"/>
          <w:szCs w:val="24"/>
        </w:rPr>
      </w:r>
      <w:r>
        <w:rPr>
          <w:rFonts w:cs="Times New Roman" w:ascii="Times New Roman" w:hAnsi="Times New Roman"/>
          <w:sz w:val="24"/>
          <w:szCs w:val="24"/>
        </w:rPr>
        <w:commentReference w:id="5"/>
      </w:r>
      <w:r>
        <w:rPr>
          <w:rFonts w:cs="Times New Roman" w:ascii="Times New Roman" w:hAnsi="Times New Roman"/>
          <w:sz w:val="24"/>
          <w:szCs w:val="24"/>
        </w:rPr>
        <w:t>.</w:t>
      </w:r>
      <w:r>
        <w:rPr>
          <w:rFonts w:cs="Times New Roman" w:ascii="Times New Roman" w:hAnsi="Times New Roman"/>
          <w:sz w:val="24"/>
          <w:szCs w:val="24"/>
          <w:vertAlign w:val="superscript"/>
        </w:rPr>
        <w:t xml:space="preserve">7 </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b/>
          <w:bCs/>
          <w:color w:val="007826"/>
          <w:sz w:val="24"/>
          <w:szCs w:val="24"/>
        </w:rPr>
        <w:t>In der Folge</w:t>
      </w:r>
      <w:r>
        <w:rPr>
          <w:rFonts w:cs="Times New Roman" w:ascii="Times New Roman" w:hAnsi="Times New Roman"/>
          <w:sz w:val="24"/>
          <w:szCs w:val="24"/>
        </w:rPr>
        <w:t xml:space="preserve"> es wird künftig weniger junge und mehr </w:t>
      </w:r>
      <w:r>
        <w:rPr>
          <w:rFonts w:cs="Times New Roman" w:ascii="Times New Roman" w:hAnsi="Times New Roman"/>
          <w:b/>
          <w:bCs/>
          <w:color w:val="007826"/>
          <w:sz w:val="24"/>
          <w:szCs w:val="24"/>
        </w:rPr>
        <w:t>ältere</w:t>
      </w:r>
      <w:r>
        <w:rPr>
          <w:rFonts w:cs="Times New Roman" w:ascii="Times New Roman" w:hAnsi="Times New Roman"/>
          <w:sz w:val="24"/>
          <w:szCs w:val="24"/>
        </w:rPr>
        <w:t xml:space="preserve"> Menschen geben. Dies hat </w:t>
      </w:r>
      <w:r>
        <w:rPr>
          <w:rFonts w:cs="Times New Roman" w:ascii="Times New Roman" w:hAnsi="Times New Roman"/>
          <w:b/>
          <w:bCs/>
          <w:color w:val="007826"/>
          <w:sz w:val="24"/>
          <w:szCs w:val="24"/>
        </w:rPr>
        <w:t>gewisse</w:t>
      </w:r>
      <w:r>
        <w:rPr>
          <w:rFonts w:cs="Times New Roman" w:ascii="Times New Roman" w:hAnsi="Times New Roman"/>
          <w:sz w:val="24"/>
          <w:szCs w:val="24"/>
        </w:rPr>
        <w:t xml:space="preserve"> Auswirkungen auf die Erwerbsfähigkeit der Bevölkerung in der Zukunft. Junge Leute besitzen deutlich mehr körperliche und geistige Fähigkeiten. Dafür bieten ältere Erwerbstätige jahrelange Erfahrung und Treue dem jeweiligen Unternehmen.</w:t>
      </w:r>
      <w:r>
        <w:rPr>
          <w:rFonts w:cs="Times New Roman" w:ascii="Times New Roman" w:hAnsi="Times New Roman"/>
          <w:sz w:val="24"/>
          <w:szCs w:val="24"/>
          <w:vertAlign w:val="superscript"/>
        </w:rPr>
        <w:t xml:space="preserve">8   </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Nach Ansicht von Börsch- Supan ist dadurch die sich zum negativen verändernde  Anzahl von aktiven Arbeitsfähigen Personen ablesbar. Daraus entsteht eine ernstzunehmende Frage: </w:t>
      </w:r>
      <w:commentRangeStart w:id="6"/>
      <w:r>
        <w:rPr>
          <w:rFonts w:cs="Times New Roman" w:ascii="Times New Roman" w:hAnsi="Times New Roman"/>
          <w:sz w:val="24"/>
          <w:szCs w:val="24"/>
        </w:rPr>
        <w:t>Kann die Nachfrage nach Gütern und Dienstleistungen mit einem entsprechenden Angebot noch ausreichend bewältigt werden?</w:t>
      </w:r>
      <w:commentRangeEnd w:id="6"/>
      <w:r>
        <w:rPr>
          <w:rFonts w:cs="Times New Roman" w:ascii="Times New Roman" w:hAnsi="Times New Roman"/>
          <w:sz w:val="24"/>
          <w:szCs w:val="24"/>
        </w:rPr>
      </w:r>
      <w:r>
        <w:rPr>
          <w:rFonts w:cs="Times New Roman" w:ascii="Times New Roman" w:hAnsi="Times New Roman"/>
          <w:sz w:val="24"/>
          <w:szCs w:val="24"/>
        </w:rPr>
        <w:commentReference w:id="6"/>
      </w:r>
      <w:r>
        <w:rPr>
          <w:rFonts w:cs="Times New Roman" w:ascii="Times New Roman" w:hAnsi="Times New Roman"/>
          <w:sz w:val="24"/>
          <w:szCs w:val="24"/>
        </w:rPr>
        <w:t xml:space="preserve"> </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In der Phase der Altersverschiebung zwischen 2010 und 2030  wird bei gleichem Verbrauch an Gütern und Dienstleistungen, das Verhältnis „von 56 Rentnern pro 100 Erwerbstätigen auf 80 bis 95 Rentner pro 100 Erwerbstätigen“ wachsen.S.3 </w:t>
      </w:r>
      <w:commentRangeStart w:id="7"/>
      <w:r>
        <w:rPr>
          <w:rFonts w:cs="Times New Roman" w:ascii="Times New Roman" w:hAnsi="Times New Roman"/>
          <w:sz w:val="24"/>
          <w:szCs w:val="24"/>
        </w:rPr>
        <w:t>Hinzu kommt, dass sich das Kaufverhalten der Älteren wandelt</w:t>
      </w:r>
      <w:commentRangeEnd w:id="7"/>
      <w:r>
        <w:rPr>
          <w:rFonts w:cs="Times New Roman" w:ascii="Times New Roman" w:hAnsi="Times New Roman"/>
          <w:sz w:val="24"/>
          <w:szCs w:val="24"/>
        </w:rPr>
      </w:r>
      <w:r>
        <w:rPr>
          <w:rFonts w:cs="Times New Roman" w:ascii="Times New Roman" w:hAnsi="Times New Roman"/>
          <w:sz w:val="24"/>
          <w:szCs w:val="24"/>
        </w:rPr>
        <w:commentReference w:id="7"/>
      </w:r>
      <w:r>
        <w:rPr>
          <w:rFonts w:cs="Times New Roman" w:ascii="Times New Roman" w:hAnsi="Times New Roman"/>
          <w:sz w:val="24"/>
          <w:szCs w:val="24"/>
        </w:rPr>
        <w:t>. Ihre Bedürfnisse werden in den Bereichen Hygiene, Wohlbefinden und altersgerechtere Wohnsituationen zunehmen.</w:t>
      </w:r>
      <w:r>
        <w:rPr>
          <w:rFonts w:cs="Times New Roman" w:ascii="Times New Roman" w:hAnsi="Times New Roman"/>
          <w:color w:val="FF0000"/>
          <w:sz w:val="24"/>
          <w:szCs w:val="24"/>
        </w:rPr>
        <w:t xml:space="preserve"> S.8/9(Pascal fragen)</w:t>
      </w:r>
      <w:r>
        <w:rPr>
          <w:rFonts w:cs="Times New Roman" w:ascii="Times New Roman" w:hAnsi="Times New Roman"/>
          <w:sz w:val="24"/>
          <w:szCs w:val="24"/>
          <w:vertAlign w:val="superscript"/>
        </w:rPr>
        <w:t>9</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Im Dienstleistungsbereich wie zum Beispiel in der Versicherungsbranche bringt die Altersverschiebung Chancen und Herausforderung zugleich mit. </w:t>
      </w:r>
      <w:r>
        <w:rPr>
          <w:rFonts w:cs="Times New Roman" w:ascii="Times New Roman" w:hAnsi="Times New Roman"/>
          <w:sz w:val="24"/>
          <w:szCs w:val="24"/>
          <w:vertAlign w:val="superscript"/>
        </w:rPr>
        <w:t xml:space="preserve">10 </w:t>
      </w:r>
      <w:r>
        <w:rPr>
          <w:rFonts w:cs="Times New Roman" w:ascii="Times New Roman" w:hAnsi="Times New Roman"/>
          <w:sz w:val="24"/>
          <w:szCs w:val="24"/>
        </w:rPr>
        <w:t>Denn mit vorgerücktem Alter, entstehen individuellere Versicherungsbedürfnisse.</w:t>
      </w:r>
      <w:r>
        <w:rPr>
          <w:rFonts w:cs="Times New Roman" w:ascii="Times New Roman" w:hAnsi="Times New Roman"/>
          <w:sz w:val="24"/>
          <w:szCs w:val="24"/>
          <w:vertAlign w:val="superscript"/>
        </w:rPr>
        <w:t>11</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Die Ab und Zuwanderungszahlen und die regionale Wanderung tragen nach Ansicht vom Statistischen Bundesamt und Birg auch eine wichtige Ursache für die demografische Entwicklung bei.</w:t>
      </w:r>
      <w:r>
        <w:rPr>
          <w:rFonts w:cs="Times New Roman" w:ascii="Times New Roman" w:hAnsi="Times New Roman"/>
          <w:sz w:val="24"/>
          <w:szCs w:val="24"/>
          <w:vertAlign w:val="superscript"/>
        </w:rPr>
        <w:t>12/13</w:t>
      </w:r>
      <w:r>
        <w:rPr>
          <w:rFonts w:cs="Times New Roman" w:ascii="Times New Roman" w:hAnsi="Times New Roman"/>
          <w:sz w:val="24"/>
          <w:szCs w:val="24"/>
        </w:rPr>
        <w:t xml:space="preserve"> </w:t>
      </w:r>
      <w:commentRangeStart w:id="8"/>
      <w:r>
        <w:rPr>
          <w:rFonts w:cs="Times New Roman" w:ascii="Times New Roman" w:hAnsi="Times New Roman"/>
          <w:sz w:val="24"/>
          <w:szCs w:val="24"/>
        </w:rPr>
      </w:r>
      <w:r>
        <w:rPr>
          <w:rFonts w:cs="Times New Roman" w:ascii="Times New Roman" w:hAnsi="Times New Roman"/>
          <w:i/>
          <w:iCs/>
          <w:color w:val="FF950E"/>
          <w:sz w:val="24"/>
          <w:szCs w:val="24"/>
        </w:rPr>
        <w:t>Wie viele Einwanderer es in den kommenden Jahren geben wird, dazu werden vom Statistischen Amt, zunächst Annahmen getroffen</w:t>
      </w:r>
      <w:commentRangeEnd w:id="8"/>
      <w:r>
        <w:rPr>
          <w:rFonts w:cs="Times New Roman" w:ascii="Times New Roman" w:hAnsi="Times New Roman"/>
          <w:i/>
          <w:iCs/>
          <w:color w:val="FF950E"/>
          <w:sz w:val="24"/>
          <w:szCs w:val="24"/>
        </w:rPr>
      </w:r>
      <w:r>
        <w:rPr>
          <w:rFonts w:cs="Times New Roman" w:ascii="Times New Roman" w:hAnsi="Times New Roman"/>
          <w:i/>
          <w:iCs/>
          <w:color w:val="FF950E"/>
          <w:sz w:val="24"/>
          <w:szCs w:val="24"/>
        </w:rPr>
        <w:commentReference w:id="8"/>
      </w:r>
      <w:r>
        <w:rPr>
          <w:rFonts w:cs="Times New Roman" w:ascii="Times New Roman" w:hAnsi="Times New Roman"/>
          <w:sz w:val="24"/>
          <w:szCs w:val="24"/>
        </w:rPr>
        <w:t xml:space="preserve">. </w:t>
      </w:r>
      <w:r>
        <w:rPr>
          <w:rFonts w:cs="Times New Roman" w:ascii="Times New Roman" w:hAnsi="Times New Roman"/>
          <w:i/>
          <w:iCs/>
          <w:color w:val="FF950E"/>
          <w:sz w:val="24"/>
          <w:szCs w:val="24"/>
        </w:rPr>
        <w:t>Am Ende könnten die realen Werte enorm abweichen</w:t>
      </w:r>
      <w:r>
        <w:rPr>
          <w:rFonts w:cs="Times New Roman" w:ascii="Times New Roman" w:hAnsi="Times New Roman"/>
          <w:sz w:val="24"/>
          <w:szCs w:val="24"/>
        </w:rPr>
        <w:t>.</w:t>
      </w:r>
      <w:r>
        <w:rPr>
          <w:rFonts w:cs="Times New Roman" w:ascii="Times New Roman" w:hAnsi="Times New Roman"/>
          <w:sz w:val="24"/>
          <w:szCs w:val="24"/>
          <w:vertAlign w:val="superscript"/>
        </w:rPr>
        <w:t xml:space="preserve">14 </w:t>
      </w:r>
      <w:r>
        <w:rPr>
          <w:rFonts w:cs="Times New Roman" w:ascii="Times New Roman" w:hAnsi="Times New Roman"/>
          <w:sz w:val="24"/>
          <w:szCs w:val="24"/>
        </w:rPr>
        <w:t xml:space="preserve">Beweggründe für Einwanderung sind Beispielweise: politische Verfolgung, finanzielle Nöte oder persönliche und familiäre Gründe. </w:t>
      </w:r>
      <w:r>
        <w:rPr>
          <w:rFonts w:cs="Times New Roman" w:ascii="Times New Roman" w:hAnsi="Times New Roman"/>
          <w:sz w:val="24"/>
          <w:szCs w:val="24"/>
          <w:vertAlign w:val="superscript"/>
        </w:rPr>
        <w:t xml:space="preserve">15 </w:t>
      </w:r>
      <w:r>
        <w:rPr>
          <w:rFonts w:cs="Times New Roman" w:ascii="Times New Roman" w:hAnsi="Times New Roman"/>
          <w:sz w:val="24"/>
          <w:szCs w:val="24"/>
        </w:rPr>
        <w:t xml:space="preserve"> </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Seit den siebziger Jahren bis ins Jahr 2003 konnte </w:t>
      </w:r>
      <w:r>
        <w:rPr>
          <w:rFonts w:cs="Times New Roman" w:ascii="Times New Roman" w:hAnsi="Times New Roman"/>
          <w:b/>
          <w:bCs/>
          <w:color w:val="007826"/>
          <w:sz w:val="24"/>
          <w:szCs w:val="24"/>
        </w:rPr>
        <w:t>sich</w:t>
      </w:r>
      <w:r>
        <w:rPr>
          <w:rFonts w:cs="Times New Roman" w:ascii="Times New Roman" w:hAnsi="Times New Roman"/>
          <w:sz w:val="24"/>
          <w:szCs w:val="24"/>
        </w:rPr>
        <w:t xml:space="preserve"> durch Zuwanderung von Ausländern die Bevölkerungszahl in Deutschland sich um 4,5 Millionen ausdehnen. </w:t>
      </w:r>
      <w:commentRangeStart w:id="9"/>
      <w:r>
        <w:rPr>
          <w:rFonts w:cs="Times New Roman" w:ascii="Times New Roman" w:hAnsi="Times New Roman"/>
          <w:sz w:val="24"/>
          <w:szCs w:val="24"/>
        </w:rPr>
        <w:t>Dies hat sich seit 2003 gewandelt, es ist eine Schmälerung der Bevölkerung eingetreten</w:t>
      </w:r>
      <w:commentRangeEnd w:id="9"/>
      <w:r>
        <w:rPr>
          <w:rFonts w:cs="Times New Roman" w:ascii="Times New Roman" w:hAnsi="Times New Roman"/>
          <w:sz w:val="24"/>
          <w:szCs w:val="24"/>
        </w:rPr>
      </w:r>
      <w:r>
        <w:rPr>
          <w:rFonts w:cs="Times New Roman" w:ascii="Times New Roman" w:hAnsi="Times New Roman"/>
          <w:sz w:val="24"/>
          <w:szCs w:val="24"/>
        </w:rPr>
        <w:commentReference w:id="9"/>
      </w:r>
      <w:r>
        <w:rPr>
          <w:rFonts w:cs="Times New Roman" w:ascii="Times New Roman" w:hAnsi="Times New Roman"/>
          <w:sz w:val="24"/>
          <w:szCs w:val="24"/>
        </w:rPr>
        <w:t>. Bis 2050 wird eine Minderung von 13 Millionen erwartet.  Zuwanderer werden künftig, diese Entwicklung nicht kompensieren können.</w:t>
      </w:r>
      <w:r>
        <w:rPr>
          <w:rFonts w:cs="Times New Roman" w:ascii="Times New Roman" w:hAnsi="Times New Roman"/>
          <w:sz w:val="24"/>
          <w:szCs w:val="24"/>
          <w:vertAlign w:val="superscript"/>
        </w:rPr>
        <w:t xml:space="preserve">16 </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b/>
          <w:bCs/>
          <w:color w:val="006666"/>
          <w:sz w:val="24"/>
          <w:szCs w:val="24"/>
        </w:rPr>
        <w:t>Regionale Wanderungsbewegungen</w:t>
      </w:r>
      <w:r>
        <w:rPr>
          <w:rFonts w:cs="Times New Roman" w:ascii="Times New Roman" w:hAnsi="Times New Roman"/>
          <w:sz w:val="24"/>
          <w:szCs w:val="24"/>
        </w:rPr>
        <w:t xml:space="preserve"> bestimmt den Altersdurchschnitt der einzelnen Regionen. Großstädte bieten finanzielle und berufliche Aussichten und sind demzufolge am Wachsen. Ländliche Regionen und die neuen Bundesländer dagegen, die begrenzte Entwicklungsmöglichkeiten aufzeigen sind von der Rückentwicklung der Einwohnerzahl betroffen.</w:t>
      </w:r>
      <w:r>
        <w:rPr>
          <w:rFonts w:cs="Times New Roman" w:ascii="Times New Roman" w:hAnsi="Times New Roman"/>
          <w:sz w:val="24"/>
          <w:szCs w:val="24"/>
          <w:vertAlign w:val="superscript"/>
        </w:rPr>
        <w:t xml:space="preserve">17     </w:t>
      </w:r>
    </w:p>
    <w:p>
      <w:pPr>
        <w:pStyle w:val="NoSpacing"/>
        <w:spacing w:lineRule="auto" w:line="360"/>
        <w:rPr>
          <w:rFonts w:cs="Times New Roman" w:ascii="Times New Roman" w:hAnsi="Times New Roman"/>
          <w:sz w:val="20"/>
          <w:szCs w:val="20"/>
          <w:vertAlign w:val="superscript"/>
        </w:rPr>
      </w:pPr>
      <w:r>
        <w:rPr>
          <w:rFonts w:cs="Times New Roman" w:ascii="Times New Roman" w:hAnsi="Times New Roman"/>
          <w:sz w:val="20"/>
          <w:szCs w:val="20"/>
          <w:vertAlign w:val="superscript"/>
        </w:rPr>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5 </w:t>
      </w:r>
      <w:r>
        <w:rPr>
          <w:rFonts w:cs="Times New Roman" w:ascii="Times New Roman" w:hAnsi="Times New Roman"/>
          <w:sz w:val="20"/>
          <w:szCs w:val="20"/>
        </w:rPr>
        <w:t>Vgl. Karsch/Hoßmann 2010, Deutschlands Regionen, S. 2</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6 </w:t>
      </w:r>
      <w:r>
        <w:rPr>
          <w:rFonts w:cs="Times New Roman" w:ascii="Times New Roman" w:hAnsi="Times New Roman"/>
          <w:sz w:val="20"/>
          <w:szCs w:val="20"/>
        </w:rPr>
        <w:t>Vgl. Münz 2013, Fertilität und Geburtenentwicklung, S. 5</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7 </w:t>
      </w:r>
      <w:r>
        <w:rPr>
          <w:rFonts w:cs="Times New Roman" w:ascii="Times New Roman" w:hAnsi="Times New Roman"/>
          <w:sz w:val="20"/>
          <w:szCs w:val="20"/>
        </w:rPr>
        <w:t xml:space="preserve">Vgl. Scherbow/Sanderson, Demografische Forschung 2010, S. 2 </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8 </w:t>
      </w:r>
      <w:r>
        <w:rPr>
          <w:rFonts w:cs="Times New Roman" w:ascii="Times New Roman" w:hAnsi="Times New Roman"/>
          <w:sz w:val="20"/>
          <w:szCs w:val="20"/>
        </w:rPr>
        <w:t>Vgl. Prettner/Prskawetz, Demografische Forschung 2010, S. 3</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9 </w:t>
      </w:r>
      <w:r>
        <w:rPr>
          <w:rFonts w:cs="Times New Roman" w:ascii="Times New Roman" w:hAnsi="Times New Roman"/>
          <w:sz w:val="20"/>
          <w:szCs w:val="20"/>
        </w:rPr>
        <w:t>Vgl. Börsch-Supan 2004, Gesamtwirtschaftliche Folgen des demographischen Wandels, S. 3/8/9</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10 </w:t>
      </w:r>
      <w:r>
        <w:rPr>
          <w:rFonts w:cs="Times New Roman" w:ascii="Times New Roman" w:hAnsi="Times New Roman"/>
          <w:sz w:val="20"/>
          <w:szCs w:val="20"/>
        </w:rPr>
        <w:t>Vgl. Birg, Der demografische Wandel als politische Herausforderung 2009, S. 5</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11 </w:t>
      </w:r>
      <w:r>
        <w:rPr>
          <w:rFonts w:cs="Times New Roman" w:ascii="Times New Roman" w:hAnsi="Times New Roman"/>
          <w:sz w:val="20"/>
          <w:szCs w:val="20"/>
        </w:rPr>
        <w:t>Vgl. GDV, Herausforderungen des demografischen Wandels für die Versicherungswirtsch. 2006, S. 14</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12</w:t>
      </w:r>
      <w:r>
        <w:rPr>
          <w:rFonts w:cs="Times New Roman" w:ascii="Times New Roman" w:hAnsi="Times New Roman"/>
          <w:sz w:val="20"/>
          <w:szCs w:val="20"/>
        </w:rPr>
        <w:t xml:space="preserve"> Vgl. Statistisches Bundesamt 2011, Demografischer Wandel, S. 17</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13 </w:t>
      </w:r>
      <w:r>
        <w:rPr>
          <w:rFonts w:cs="Times New Roman" w:ascii="Times New Roman" w:hAnsi="Times New Roman"/>
          <w:sz w:val="20"/>
          <w:szCs w:val="20"/>
        </w:rPr>
        <w:t>Vgl. Birg, Der demografische Wandel als politische Herausforderung 2009, S. 4</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14</w:t>
      </w:r>
      <w:r>
        <w:rPr>
          <w:rFonts w:cs="Times New Roman" w:ascii="Times New Roman" w:hAnsi="Times New Roman"/>
          <w:sz w:val="20"/>
          <w:szCs w:val="20"/>
        </w:rPr>
        <w:t xml:space="preserve"> Vgl. Statistisches Bundesamt 2011, Demografischer Wandel, S. 18</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15</w:t>
      </w:r>
      <w:r>
        <w:rPr>
          <w:rFonts w:cs="Times New Roman" w:ascii="Times New Roman" w:hAnsi="Times New Roman"/>
          <w:sz w:val="20"/>
          <w:szCs w:val="20"/>
        </w:rPr>
        <w:t xml:space="preserve"> Vgl. Bohk, Demografische Forschung 2012, S. 1</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16 </w:t>
      </w:r>
      <w:r>
        <w:rPr>
          <w:rFonts w:cs="Times New Roman" w:ascii="Times New Roman" w:hAnsi="Times New Roman"/>
          <w:sz w:val="20"/>
          <w:szCs w:val="20"/>
        </w:rPr>
        <w:t>Vgl. Klingholz, Demografische Herausforderung Deutschlands u. Europas 2008, S. 1</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17</w:t>
      </w:r>
      <w:r>
        <w:rPr>
          <w:rFonts w:cs="Times New Roman" w:ascii="Times New Roman" w:hAnsi="Times New Roman"/>
          <w:sz w:val="20"/>
          <w:szCs w:val="20"/>
        </w:rPr>
        <w:t xml:space="preserve"> Vgl. Statistisches Bundesamt 2011, Demografischer Wandel, S. 18</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Bedeutung für die Versicherungswirtschaft</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Welche Folgen bringt der Geburtenrückgang mit sich? Die Bevölkerung wird schrumpfen und in der Folge wird es in der Zukunft immer weniger Arbeitskräfte bzw. zugleich immer mehr ältere Beschäftigte geben.</w:t>
      </w:r>
      <w:r>
        <w:rPr>
          <w:rFonts w:cs="Times New Roman" w:ascii="Times New Roman" w:hAnsi="Times New Roman"/>
          <w:sz w:val="24"/>
          <w:szCs w:val="24"/>
          <w:vertAlign w:val="superscript"/>
        </w:rPr>
        <w:t>18</w:t>
      </w:r>
      <w:r>
        <w:rPr>
          <w:rFonts w:cs="Times New Roman" w:ascii="Times New Roman" w:hAnsi="Times New Roman"/>
          <w:sz w:val="24"/>
          <w:szCs w:val="24"/>
        </w:rPr>
        <w:t>Anhand von Zukunftsprognosen des statistischen Amtes unter Abbildung 1 und 2 ist folgendes ablesbar: Die Generation der unter 20 jährigen weist im Jahr 2030 einen Rückgang von 2,1 Millionen aus. Die mittlere Schicht zeigt die Anzahl der Erwerbstätigen, diese deuten auf eine Rückentwicklung von über 7,6 Millionen hin. Menschen mit vorgerücktem Alter über 65 Jahren dagegen, zeigen ein Wachstum in Höhe von 5,5 Millionen auf. Diese Ergebnisse können durch unterschiedliche Annahmen des „jährlichen Wanderungssaldos „ in diesem Beispiel mit 100000 Ausländern ins Schwanken.</w:t>
      </w:r>
    </w:p>
    <w:p>
      <w:pPr>
        <w:pStyle w:val="NoSpacing"/>
        <w:spacing w:lineRule="auto" w:line="360"/>
        <w:rPr/>
      </w:pPr>
      <w:r>
        <w:rPr/>
        <w:drawing>
          <wp:inline distT="0" distB="0" distL="0" distR="0">
            <wp:extent cx="5400040" cy="324929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00040" cy="3249295"/>
                    </a:xfrm>
                    <a:prstGeom prst="rect">
                      <a:avLst/>
                    </a:prstGeom>
                    <a:noFill/>
                    <a:ln w="9525">
                      <a:noFill/>
                      <a:miter lim="800000"/>
                      <a:headEnd/>
                      <a:tailEnd/>
                    </a:ln>
                  </pic:spPr>
                </pic:pic>
              </a:graphicData>
            </a:graphic>
          </wp:inline>
        </w:drawing>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rPr>
        <w:t>Abbildung 1:Statistisches Bundesamt 18.2.2015, 18.50 Uhr Annahmen der 12. Koordinierten Bevölkerungsvorausberechnung – Variante Untergrenze der „mittleren“ Bevölkerung (1-W1)</w:t>
      </w:r>
    </w:p>
    <w:p>
      <w:pPr>
        <w:pStyle w:val="NoSpacing"/>
        <w:spacing w:lineRule="auto" w:line="360"/>
        <w:rPr>
          <w:rStyle w:val="Internetlink"/>
          <w:rFonts w:cs="Times New Roman" w:ascii="Times New Roman" w:hAnsi="Times New Roman"/>
          <w:sz w:val="20"/>
          <w:szCs w:val="20"/>
        </w:rPr>
      </w:pPr>
      <w:r>
        <w:rPr>
          <w:rFonts w:cs="Times New Roman" w:ascii="Times New Roman" w:hAnsi="Times New Roman"/>
          <w:sz w:val="20"/>
          <w:szCs w:val="20"/>
        </w:rPr>
        <w:t xml:space="preserve"> </w:t>
      </w:r>
      <w:hyperlink r:id="rId3">
        <w:r>
          <w:rPr>
            <w:rStyle w:val="Internetlink"/>
            <w:rFonts w:cs="Times New Roman" w:ascii="Times New Roman" w:hAnsi="Times New Roman"/>
            <w:sz w:val="20"/>
            <w:szCs w:val="20"/>
          </w:rPr>
          <w:t>https://www.destatis.de/bevoelkerungspyramide/</w:t>
        </w:r>
      </w:hyperlink>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pPr>
      <w:r>
        <w:rPr/>
        <w:drawing>
          <wp:inline distT="0" distB="0" distL="0" distR="0">
            <wp:extent cx="5400040" cy="323977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400040" cy="3239770"/>
                    </a:xfrm>
                    <a:prstGeom prst="rect">
                      <a:avLst/>
                    </a:prstGeom>
                    <a:noFill/>
                    <a:ln w="9525">
                      <a:noFill/>
                      <a:miter lim="800000"/>
                      <a:headEnd/>
                      <a:tailEnd/>
                    </a:ln>
                  </pic:spPr>
                </pic:pic>
              </a:graphicData>
            </a:graphic>
          </wp:inline>
        </w:drawing>
      </w:r>
    </w:p>
    <w:p>
      <w:pPr>
        <w:pStyle w:val="NoSpacing"/>
        <w:spacing w:lineRule="auto" w:line="360"/>
        <w:rPr>
          <w:rStyle w:val="Internetlink"/>
          <w:rFonts w:cs="Times New Roman" w:ascii="Times New Roman" w:hAnsi="Times New Roman"/>
          <w:sz w:val="20"/>
          <w:szCs w:val="20"/>
        </w:rPr>
      </w:pPr>
      <w:r>
        <w:rPr>
          <w:rFonts w:cs="Times New Roman" w:ascii="Times New Roman" w:hAnsi="Times New Roman"/>
          <w:sz w:val="20"/>
          <w:szCs w:val="20"/>
        </w:rPr>
        <w:t>Abbildung 2: Statistisches Bundesamt 18.2.2015, 18.50 Uhr Annahmen der 12. Koordinierten Bevölkerungsvorausberechnung – Variante Untergrenze der „mittleren“ Bevölkerung (1-W1)</w:t>
      </w:r>
      <w:hyperlink r:id="rId5">
        <w:r>
          <w:rPr>
            <w:rStyle w:val="Internetlink"/>
            <w:rFonts w:cs="Times New Roman" w:ascii="Times New Roman" w:hAnsi="Times New Roman"/>
            <w:sz w:val="20"/>
            <w:szCs w:val="20"/>
          </w:rPr>
          <w:t>https://www.destatis.de/bevoelkerungspyramide/</w:t>
        </w:r>
      </w:hyperlink>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Im direkten Vergleich der beiden Grafiken, zeigt sich, dass die Bevölkerungsentwicklung in Deutschland von einem Lebensbaum hin zu einem Altersbaum entwickelt. </w:t>
      </w:r>
      <w:r>
        <w:rPr>
          <w:rFonts w:cs="Times New Roman" w:ascii="Times New Roman" w:hAnsi="Times New Roman"/>
          <w:sz w:val="24"/>
          <w:szCs w:val="24"/>
          <w:vertAlign w:val="superscript"/>
        </w:rPr>
        <w:t xml:space="preserve">19 </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 xml:space="preserve">Durch die eintretende Altersverschiebung, verändert sich das Risiko für die Versicherungswirtschaft und bietet gleichzeitig, neue Möglichkeiten. </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 xml:space="preserve">Nach Angaben des Gesamtverband der Deutschen Versicherungswirtschaft e.V. ( GDV) gab es 2005 ca. 425 Mio. Versicherungsverträge und daraus konnten insgesamt 157,9 Mrd. Euro an Prämien eingefahren werden. Das angelegte Geld, durch die Versicherer hat einen Wert auf dem Kapitalmarkt, von 1067 Milliarden Euro und darin sind 656 Milliarden aus dem Lebensversicherungsbereich. Deutschland bietet in dieser Branche 233 000 Menschen eine Beschäftigung. Zu diesen Kapazitäten tragen 116 Lebensversicherungs-, 53 Krankenversicherungs-, 241 Schaden- und Unfallversicherungsunternehmen bei. </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 xml:space="preserve">Diese Zahlen verdeutlichen die Stellung der Branche in der Volkswirtschaft und auf den Finanzmärkten. </w:t>
      </w:r>
      <w:r>
        <w:rPr>
          <w:rFonts w:cs="Times New Roman" w:ascii="Times New Roman" w:hAnsi="Times New Roman"/>
          <w:sz w:val="24"/>
          <w:szCs w:val="24"/>
          <w:vertAlign w:val="superscript"/>
        </w:rPr>
        <w:t xml:space="preserve">20 </w:t>
      </w:r>
      <w:r>
        <w:rPr>
          <w:rFonts w:cs="Times New Roman" w:ascii="Times New Roman" w:hAnsi="Times New Roman"/>
          <w:sz w:val="24"/>
          <w:szCs w:val="24"/>
        </w:rPr>
        <w:t xml:space="preserve"> </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 xml:space="preserve">Die Abbildung 3 lässt folgende Schlüsse ziehen: Durch die Vermittlung von Lebensversicherungen, können die höchsten Prämieneinnahmen generiert werden. </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Die Schaden- und Unfallversicherer mit 35% tragen Ihren Anteil dazu bei. </w:t>
      </w:r>
      <w:r>
        <w:rPr>
          <w:rFonts w:cs="Times New Roman" w:ascii="Times New Roman" w:hAnsi="Times New Roman"/>
          <w:sz w:val="24"/>
          <w:szCs w:val="24"/>
          <w:vertAlign w:val="superscript"/>
        </w:rPr>
        <w:t>21</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Es besteht in Deutschland die Gesetzliche Krankenversicherungspflicht und deshalb wird dieses Segment als Ergänzung zur Gesetzlichen Absicherung genutzt. Aufgrund dessen trägt der private Kranken- und Pflegeversicherungsbranche mit 17 % zu den geringsten Einnahmen bei.</w:t>
      </w:r>
      <w:r>
        <w:rPr>
          <w:rFonts w:cs="Times New Roman" w:ascii="Times New Roman" w:hAnsi="Times New Roman"/>
          <w:sz w:val="24"/>
          <w:szCs w:val="24"/>
          <w:vertAlign w:val="superscript"/>
        </w:rPr>
        <w:t>22</w:t>
      </w:r>
    </w:p>
    <w:p>
      <w:pPr>
        <w:pStyle w:val="NoSpacing"/>
        <w:spacing w:lineRule="auto" w:line="360"/>
        <w:rPr/>
      </w:pPr>
      <w:r>
        <w:rPr/>
        <w:drawing>
          <wp:inline distT="0" distB="0" distL="0" distR="0">
            <wp:extent cx="5191760" cy="274383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191760" cy="2743835"/>
                    </a:xfrm>
                    <a:prstGeom prst="rect">
                      <a:avLst/>
                    </a:prstGeom>
                    <a:noFill/>
                    <a:ln w="9525">
                      <a:noFill/>
                      <a:miter lim="800000"/>
                      <a:headEnd/>
                      <a:tailEnd/>
                    </a:ln>
                  </pic:spPr>
                </pic:pic>
              </a:graphicData>
            </a:graphic>
          </wp:inline>
        </w:drawing>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rPr>
        <w:t>Abbildung 3: Beitragseinahmen der einzelnen Sparten (2005) GDV 2006 S. 7</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rPr>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18 </w:t>
      </w:r>
      <w:r>
        <w:rPr>
          <w:rFonts w:cs="Times New Roman" w:ascii="Times New Roman" w:hAnsi="Times New Roman"/>
          <w:sz w:val="20"/>
          <w:szCs w:val="20"/>
        </w:rPr>
        <w:t>Vgl. Börsch-Supan, Gesamtwirtschaftliche Folgen des demographischen Wandels 2004, S. 1</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19 </w:t>
      </w:r>
      <w:r>
        <w:rPr>
          <w:rFonts w:cs="Times New Roman" w:ascii="Times New Roman" w:hAnsi="Times New Roman"/>
          <w:sz w:val="20"/>
          <w:szCs w:val="20"/>
        </w:rPr>
        <w:t>Vgl. Karsch und Hoßmann, Deutschlands Regionen 2010, S. 7</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20 </w:t>
      </w:r>
      <w:r>
        <w:rPr>
          <w:rFonts w:cs="Times New Roman" w:ascii="Times New Roman" w:hAnsi="Times New Roman"/>
          <w:sz w:val="20"/>
          <w:szCs w:val="20"/>
        </w:rPr>
        <w:t xml:space="preserve"> Vgl. GDV, Herausforderungen des demografischen Wandels für die Versicherungswirtschaft 2006, S. 4/5/6</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21 </w:t>
      </w:r>
      <w:r>
        <w:rPr>
          <w:rFonts w:cs="Times New Roman" w:ascii="Times New Roman" w:hAnsi="Times New Roman"/>
          <w:sz w:val="20"/>
          <w:szCs w:val="20"/>
        </w:rPr>
        <w:t xml:space="preserve"> Vgl. GDV, Herausforderungen des demografischen Wandels für die Versicherungswirtschaft 2006, S.7</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22  </w:t>
      </w:r>
      <w:r>
        <w:rPr>
          <w:rFonts w:cs="Times New Roman" w:ascii="Times New Roman" w:hAnsi="Times New Roman"/>
          <w:sz w:val="20"/>
          <w:szCs w:val="20"/>
        </w:rPr>
        <w:t>Vgl. GDV, Herausforderungen des demografischen Wandels für die Versicherungswirtschaft 2006, S. 41</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rPr>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Herausforderung für die Versicherungswirtschaft</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Die zunehmenden Probleme der Sozialversicherungssysteme, schaffen eine Gelegenheit für die Bevölkerung und erfordern gleichzeitig Disziplin, um  privat vorzusorgen. Das gilt für Firmenkunden genauso, wie für den privaten Anleger. Im Gegensatz zu den Sozialsystemen welche das Umlageverfahren anwenden, nutzt die Versicherungswirtschaft das Kapitaldeckungsverfahren und ist daher von demografischen Ereignissen weniger betroffen. </w:t>
      </w:r>
      <w:r>
        <w:rPr>
          <w:rFonts w:cs="Times New Roman" w:ascii="Times New Roman" w:hAnsi="Times New Roman"/>
          <w:sz w:val="24"/>
          <w:szCs w:val="24"/>
          <w:vertAlign w:val="superscript"/>
        </w:rPr>
        <w:t xml:space="preserve">23 </w:t>
      </w:r>
      <w:r>
        <w:rPr>
          <w:rFonts w:cs="Times New Roman" w:ascii="Times New Roman" w:hAnsi="Times New Roman"/>
          <w:sz w:val="24"/>
          <w:szCs w:val="24"/>
        </w:rPr>
        <w:t>Das Umlageverfahren bei der Deutschen Rentenversicherung zeigt derzeit folgendes Verhältnis: zwei Erwerbstätige bezahlen, einem Älteren den Ruhestand. Künftige Prognosen zeigen, dass durch den Wandel der Altersstruktur das bestreiten der Versorgung, sich auf einen Erwerbstätigen pro Rentner reduzieren wird.</w:t>
      </w:r>
      <w:r>
        <w:rPr>
          <w:rFonts w:cs="Times New Roman" w:ascii="Times New Roman" w:hAnsi="Times New Roman"/>
          <w:sz w:val="24"/>
          <w:szCs w:val="24"/>
          <w:vertAlign w:val="superscript"/>
        </w:rPr>
        <w:t xml:space="preserve">24 </w:t>
      </w:r>
      <w:r>
        <w:rPr>
          <w:rFonts w:cs="Times New Roman" w:ascii="Times New Roman" w:hAnsi="Times New Roman"/>
          <w:sz w:val="24"/>
          <w:szCs w:val="24"/>
        </w:rPr>
        <w:t xml:space="preserve">Deshalb wird das Renteneintrittsalter stufenweise erhöht von 65 auf 67 Jahre und die Rentenhöhe passt sich der demografischen Entwicklung an.  Die späteren Rentenansprüche der jetzigen arbeitenden Generation, weisen somit eine Lücke in Ihrer Altersvorsorge auf. </w:t>
      </w:r>
      <w:r>
        <w:rPr>
          <w:rFonts w:cs="Times New Roman" w:ascii="Times New Roman" w:hAnsi="Times New Roman"/>
          <w:sz w:val="24"/>
          <w:szCs w:val="24"/>
          <w:vertAlign w:val="superscript"/>
        </w:rPr>
        <w:t>25</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Für das Geschäftsfeld der Lebensversicherer, welche das Kapitaldeckungsverfahren nutzen, Bedeutet das Langlebigkeitsrisiko und der Rückgang der Sterberate, das Steigen der biometrischen Risiken. Um die Leistungen weiterhin garantieren zu können, ist eine neue Prämienkalkulationsgrundlage notwendig. </w:t>
      </w:r>
      <w:r>
        <w:rPr>
          <w:rFonts w:cs="Times New Roman" w:ascii="Times New Roman" w:hAnsi="Times New Roman"/>
          <w:sz w:val="24"/>
          <w:szCs w:val="24"/>
          <w:vertAlign w:val="superscript"/>
        </w:rPr>
        <w:t xml:space="preserve">26   </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Der Staat unterstützt die Versicherungsbranche mit Neuregelungen für Altersvorsorgeprodukte. Es gibt staatlich geförderte und steuerlich begünstigte Vorsorgemöglichkeiten. </w:t>
      </w:r>
      <w:r>
        <w:rPr>
          <w:rFonts w:cs="Times New Roman" w:ascii="Times New Roman" w:hAnsi="Times New Roman"/>
          <w:sz w:val="24"/>
          <w:szCs w:val="24"/>
          <w:vertAlign w:val="superscript"/>
        </w:rPr>
        <w:t>27</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Die weiteren Zweige der Sozialversicherung wie die Kranken- und Pflegeversicherung deuten gleichfalls auf unzureichende Versorgung hin. Durch die gestiegene Lebenserwartung und den geringen Sterbefällen kommt das Leistungs- und Beitragsniveau ins Schwanken. </w:t>
      </w:r>
      <w:r>
        <w:rPr>
          <w:rFonts w:cs="Times New Roman" w:ascii="Times New Roman" w:hAnsi="Times New Roman"/>
          <w:sz w:val="24"/>
          <w:szCs w:val="24"/>
          <w:vertAlign w:val="superscript"/>
        </w:rPr>
        <w:t xml:space="preserve">28 </w:t>
      </w:r>
      <w:r>
        <w:rPr>
          <w:rFonts w:cs="Times New Roman" w:ascii="Times New Roman" w:hAnsi="Times New Roman"/>
          <w:sz w:val="24"/>
          <w:szCs w:val="24"/>
        </w:rPr>
        <w:t xml:space="preserve">Die Berliner Zeitung veranschaulicht mit Ihrem Artikel „Weniger Leistung“ und „Wird teuer“, dass die Gesetzlichen Krankenkassen Ihre Leistungen stetig senken, dafür die Beitragssätze kontinuierlich erhöhen, um die wachsenden Kosten auszugleichen. </w:t>
      </w:r>
      <w:r>
        <w:rPr>
          <w:rFonts w:cs="Times New Roman" w:ascii="Times New Roman" w:hAnsi="Times New Roman"/>
          <w:sz w:val="24"/>
          <w:szCs w:val="24"/>
          <w:vertAlign w:val="superscript"/>
        </w:rPr>
        <w:t>29</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Den privaten Krankenversicherungssektor, erwartet durch den gestiegenen Altersdurchschnitt einen Rückgang der vollständig privat abgesicherten Personen.  Die Gesundheitskosten steigen mit zunehmendem Alter. Allerdings Leistungssenkungen der Gesetzlichen Krankenversicherung tragen dazu bei, dass der Bedarf an Ergänzungstarifen wie zum Beispiel Zahnzusatzversicherung sich ausbreitet. </w:t>
      </w:r>
      <w:r>
        <w:rPr>
          <w:rFonts w:cs="Times New Roman" w:ascii="Times New Roman" w:hAnsi="Times New Roman"/>
          <w:sz w:val="24"/>
          <w:szCs w:val="24"/>
          <w:vertAlign w:val="superscript"/>
        </w:rPr>
        <w:t xml:space="preserve">30 </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Das statistische Bundesamt siehe Abbildung 4, zeigt uns bei seinen Prognosen, das sich die Menge der Pflegebedürftigen zum Beispiel 2030 um ca. ein Drittel erhöhen wird auf 4,292 Millionen.</w:t>
      </w:r>
      <w:r>
        <w:rPr>
          <w:rFonts w:cs="Times New Roman" w:ascii="Times New Roman" w:hAnsi="Times New Roman"/>
          <w:sz w:val="24"/>
          <w:szCs w:val="24"/>
          <w:vertAlign w:val="superscript"/>
        </w:rPr>
        <w:t>31</w:t>
      </w:r>
    </w:p>
    <w:p>
      <w:pPr>
        <w:pStyle w:val="NoSpacing"/>
        <w:tabs>
          <w:tab w:val="left" w:pos="3336" w:leader="none"/>
        </w:tabs>
        <w:spacing w:lineRule="auto" w:line="360"/>
        <w:rPr/>
      </w:pPr>
      <w:r>
        <w:rPr/>
        <w:drawing>
          <wp:inline distT="0" distB="0" distL="0" distR="0">
            <wp:extent cx="4953000" cy="34290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953000" cy="3429000"/>
                    </a:xfrm>
                    <a:prstGeom prst="rect">
                      <a:avLst/>
                    </a:prstGeom>
                    <a:noFill/>
                    <a:ln w="9525">
                      <a:noFill/>
                      <a:miter lim="800000"/>
                      <a:headEnd/>
                      <a:tailEnd/>
                    </a:ln>
                  </pic:spPr>
                </pic:pic>
              </a:graphicData>
            </a:graphic>
          </wp:inline>
        </w:drawing>
      </w:r>
    </w:p>
    <w:p>
      <w:pPr>
        <w:pStyle w:val="NoSpacing"/>
        <w:tabs>
          <w:tab w:val="left" w:pos="3336" w:leader="none"/>
        </w:tabs>
        <w:spacing w:lineRule="auto" w:line="360"/>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NoSpacing"/>
        <w:tabs>
          <w:tab w:val="left" w:pos="3336" w:leader="none"/>
        </w:tabs>
        <w:spacing w:lineRule="auto" w:line="360"/>
        <w:rPr>
          <w:rFonts w:cs="Times New Roman" w:ascii="Times New Roman" w:hAnsi="Times New Roman"/>
          <w:sz w:val="20"/>
          <w:szCs w:val="20"/>
          <w:lang w:eastAsia="de-DE"/>
        </w:rPr>
      </w:pPr>
      <w:r>
        <w:rPr>
          <w:rFonts w:cs="Times New Roman" w:ascii="Times New Roman" w:hAnsi="Times New Roman"/>
          <w:sz w:val="20"/>
          <w:szCs w:val="20"/>
        </w:rPr>
        <w:t xml:space="preserve">Abbildung 4: Bevölkerung Deutschlands in den Altersgruppen mit erhöhtem Krankheits- und Pflegerisiko 2009 bis 2050. </w:t>
      </w:r>
      <w:r>
        <w:rPr>
          <w:rFonts w:cs="Times New Roman" w:ascii="Times New Roman" w:hAnsi="Times New Roman"/>
          <w:sz w:val="20"/>
          <w:szCs w:val="20"/>
          <w:lang w:eastAsia="de-DE"/>
        </w:rPr>
        <w:tab/>
        <w:tab/>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rPr>
        <w:t>Statistisches Bundesamt, Auswirkungen auf Krankenhausbehandlungen und Pflegebedürftige im Bund und in den Ländern 2010, Heft 2, S.6</w:t>
      </w:r>
    </w:p>
    <w:p>
      <w:pPr>
        <w:pStyle w:val="NoSpacing"/>
        <w:spacing w:lineRule="auto" w:line="360"/>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Zusammenfassend kann davon ausgegangen werden, dass die Nachfrage nach Versicherungen steigen wird. Die hohe Anzahl an älteren</w:t>
      </w:r>
      <w:r>
        <w:rPr>
          <w:rFonts w:cs="Times New Roman" w:ascii="Times New Roman" w:hAnsi="Times New Roman"/>
          <w:color w:val="FF0000"/>
          <w:sz w:val="24"/>
          <w:szCs w:val="24"/>
        </w:rPr>
        <w:t xml:space="preserve"> </w:t>
      </w:r>
      <w:r>
        <w:rPr>
          <w:rFonts w:cs="Times New Roman" w:ascii="Times New Roman" w:hAnsi="Times New Roman"/>
          <w:sz w:val="24"/>
          <w:szCs w:val="24"/>
        </w:rPr>
        <w:t>als Kundengruppe zwischen 50 und 80 Jahren, erfordern beim Versicherungsberater Kompetenz und individuellere Lösungen.</w:t>
      </w:r>
      <w:r>
        <w:rPr>
          <w:rFonts w:cs="Times New Roman" w:ascii="Times New Roman" w:hAnsi="Times New Roman"/>
          <w:sz w:val="24"/>
          <w:szCs w:val="24"/>
          <w:vertAlign w:val="superscript"/>
        </w:rPr>
        <w:t xml:space="preserve">32 </w:t>
      </w:r>
      <w:r>
        <w:rPr>
          <w:rFonts w:cs="Times New Roman" w:ascii="Times New Roman" w:hAnsi="Times New Roman"/>
          <w:sz w:val="24"/>
          <w:szCs w:val="24"/>
        </w:rPr>
        <w:t xml:space="preserve"> Dieser Schwerpunkt wird in meiner Arbeit näher untersucht.</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23 </w:t>
      </w:r>
      <w:r>
        <w:rPr>
          <w:rFonts w:cs="Times New Roman" w:ascii="Times New Roman" w:hAnsi="Times New Roman"/>
          <w:sz w:val="20"/>
          <w:szCs w:val="20"/>
        </w:rPr>
        <w:t>Vgl. GDV, Herausforderungen des demografischen Wandels für die Versicherungswirtschaft 2006, S. 4 /14/17</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24 </w:t>
      </w:r>
      <w:r>
        <w:rPr>
          <w:rFonts w:cs="Times New Roman" w:ascii="Times New Roman" w:hAnsi="Times New Roman"/>
          <w:sz w:val="20"/>
          <w:szCs w:val="20"/>
        </w:rPr>
        <w:t>Vgl. Lehr, Alterung der Bevölkerung 2002, S. 4</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25 </w:t>
      </w:r>
      <w:r>
        <w:rPr>
          <w:rFonts w:cs="Times New Roman" w:ascii="Times New Roman" w:hAnsi="Times New Roman"/>
          <w:sz w:val="20"/>
          <w:szCs w:val="20"/>
        </w:rPr>
        <w:t>Vgl. GDV, Herausforderungen des demografischen Wandels für die Versicherungswirtschaft 2006, S, S. 22</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26</w:t>
      </w:r>
      <w:r>
        <w:rPr>
          <w:rFonts w:cs="Times New Roman" w:ascii="Times New Roman" w:hAnsi="Times New Roman"/>
          <w:sz w:val="20"/>
          <w:szCs w:val="20"/>
        </w:rPr>
        <w:t xml:space="preserve"> Vgl. GDV, Herausforderungen des demografischen Wandels für die Versicherungswirtschaft 2006, S. 14/17/19</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27 </w:t>
      </w:r>
      <w:r>
        <w:rPr>
          <w:rFonts w:cs="Times New Roman" w:ascii="Times New Roman" w:hAnsi="Times New Roman"/>
          <w:sz w:val="20"/>
          <w:szCs w:val="20"/>
        </w:rPr>
        <w:t>Vgl. GDV, Herausforderungen des demografischen Wandels für die Versicherungswirtschaft 2006,S.23</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28 </w:t>
      </w:r>
      <w:r>
        <w:rPr>
          <w:rFonts w:cs="Times New Roman" w:ascii="Times New Roman" w:hAnsi="Times New Roman"/>
          <w:sz w:val="20"/>
          <w:szCs w:val="20"/>
        </w:rPr>
        <w:t>Vgl. GDV 1990, Demographischer Wandel und Versicherungswirtschaft, S. 55</w:t>
      </w:r>
    </w:p>
    <w:p>
      <w:pPr>
        <w:pStyle w:val="NoSpacing"/>
        <w:spacing w:lineRule="auto" w:line="360"/>
        <w:rPr>
          <w:rStyle w:val="Internetlink"/>
          <w:rFonts w:cs="Times New Roman" w:ascii="Times New Roman" w:hAnsi="Times New Roman"/>
          <w:sz w:val="20"/>
          <w:szCs w:val="20"/>
        </w:rPr>
      </w:pPr>
      <w:r>
        <w:rPr>
          <w:rFonts w:cs="Times New Roman" w:ascii="Times New Roman" w:hAnsi="Times New Roman"/>
          <w:sz w:val="20"/>
          <w:szCs w:val="20"/>
          <w:vertAlign w:val="superscript"/>
        </w:rPr>
        <w:t xml:space="preserve">29 </w:t>
      </w:r>
      <w:r>
        <w:rPr>
          <w:rFonts w:cs="Times New Roman" w:ascii="Times New Roman" w:hAnsi="Times New Roman"/>
          <w:sz w:val="20"/>
          <w:szCs w:val="20"/>
        </w:rPr>
        <w:t xml:space="preserve">Vgl. Berliner Zeitung, Artikel vom 15.2.2005 „Weniger Leistung“ und Artikel vom 07.07.2010 „Wird teuer“ </w:t>
      </w:r>
      <w:hyperlink r:id="rId8">
        <w:r>
          <w:rPr>
            <w:rStyle w:val="Internetlink"/>
            <w:rFonts w:cs="Times New Roman" w:ascii="Times New Roman" w:hAnsi="Times New Roman"/>
            <w:sz w:val="20"/>
            <w:szCs w:val="20"/>
          </w:rPr>
          <w:t>http://www.berliner-zeitung.de/archiv/welche-probleme-es-mit-der-krankenkasse-geben-kann---und-wie-man-sie-angeht-weniger-leistung,10810590,10258538.html</w:t>
        </w:r>
      </w:hyperlink>
    </w:p>
    <w:p>
      <w:pPr>
        <w:pStyle w:val="NoSpacing"/>
        <w:spacing w:lineRule="auto" w:line="360"/>
        <w:rPr>
          <w:rStyle w:val="Internetlink"/>
          <w:rFonts w:cs="Times New Roman" w:ascii="Times New Roman" w:hAnsi="Times New Roman"/>
          <w:sz w:val="20"/>
          <w:szCs w:val="20"/>
        </w:rPr>
      </w:pPr>
      <w:hyperlink r:id="rId9">
        <w:r>
          <w:rPr>
            <w:rStyle w:val="Internetlink"/>
            <w:rFonts w:cs="Times New Roman" w:ascii="Times New Roman" w:hAnsi="Times New Roman"/>
            <w:sz w:val="20"/>
            <w:szCs w:val="20"/>
          </w:rPr>
          <w:t>http://www.berliner-zeitung.de/archiv/gesundheitsreform---die-koalition-versucht--die-finanzierung-der-krankenkassen-trotz-steigender-ausgaben-zu-sichern--herausgekommen-ist-eine-komplizierte-rechnung-mit-einem-einfachen-ergebnis--es-wird-teuer,10810590,10728296.html</w:t>
        </w:r>
      </w:hyperlink>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30 </w:t>
      </w:r>
      <w:r>
        <w:rPr>
          <w:rFonts w:cs="Times New Roman" w:ascii="Times New Roman" w:hAnsi="Times New Roman"/>
          <w:sz w:val="20"/>
          <w:szCs w:val="20"/>
        </w:rPr>
        <w:t>Vgl. Herausforderungen des demografischen Wandels für die Versicherungswirtschaft 2006, S. 39/41</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31 </w:t>
      </w:r>
      <w:r>
        <w:rPr>
          <w:rFonts w:cs="Times New Roman" w:ascii="Times New Roman" w:hAnsi="Times New Roman"/>
          <w:sz w:val="20"/>
          <w:szCs w:val="20"/>
        </w:rPr>
        <w:t xml:space="preserve">Vgl. Statistisches Bundesamt, Auswirkungen auf Krankenhausbehandlungen und Pflegebedürftige im Bund und in den Ländern 2010, Heft 2, S.5 </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32 </w:t>
      </w:r>
      <w:r>
        <w:rPr>
          <w:rFonts w:cs="Times New Roman" w:ascii="Times New Roman" w:hAnsi="Times New Roman"/>
          <w:sz w:val="20"/>
          <w:szCs w:val="20"/>
        </w:rPr>
        <w:t>Vgl. GDV, Herausforderungen des demografischen Wandels für die Versicherungswirtschaft 2006, S.50</w:t>
      </w:r>
    </w:p>
    <w:p>
      <w:pPr>
        <w:pStyle w:val="NoSpacing"/>
        <w:spacing w:lineRule="auto" w:line="360"/>
        <w:rPr/>
      </w:pPr>
      <w:r>
        <w:rPr/>
      </w:r>
    </w:p>
    <w:sectPr>
      <w:footerReference w:type="default" r:id="rId10"/>
      <w:type w:val="nextPage"/>
      <w:pgSz w:w="11906" w:h="16838"/>
      <w:pgMar w:left="2835" w:right="567" w:header="0" w:top="1134" w:footer="1701" w:bottom="1758"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ascal Bernhard" w:date="2015-02-20T12:07:12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Bei einer konkreten Seitenangabe bei Zitaten kommt kein vlg. Die nur, wenn Du keine genaue Seiten zitieren kannst, sprich einen allgemeinen Gedanken einfängst, der an keiner spezifischen Stelle steht</w:t>
      </w:r>
    </w:p>
  </w:comment>
  <w:comment w:id="1" w:author="Pascal Bernhard" w:date="2015-02-20T09:15:04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Was war das für ein Wandel? Was hat sich in Gesellschaft und Wirtschaft geändert?</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Beispiele:</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Verbesserung der mediziischen Versorgung sorgte für einen dramatischen Rückgang der Säuglingssterblichkeit, weniger Infektionskrankheiten, höhere Lebenserwartung</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Übergang von einer agrarisch gerpägten in eine industriell geprägte Gesellschaft (Bedeutung des Prmärsektors nahm gegenüber dem Sekundärsektor [Indutrie] und allmählich dem Tertiärsektor [Dienstleistungen] deutlich ab</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Wie Du auch erwähnst, Fortschritte im Bildungsgrad, insbesondere der Frauen</w:t>
      </w:r>
    </w:p>
  </w:comment>
  <w:comment w:id="2" w:author="Pascal Bernhard" w:date="2015-02-20T09:50:3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Wie genau wirkt sich der steigende Bildungsgrad der Frauen auf die Familienplanung aus? Mechanismus</w:t>
      </w:r>
    </w:p>
  </w:comment>
  <w:comment w:id="3" w:author="Pascal Bernhard" w:date="2015-02-20T09:51:42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Vielleicht kurz in einer Fußnote diesen Begriff definieren</w:t>
      </w:r>
    </w:p>
  </w:comment>
  <w:comment w:id="4" w:author="Pascal Bernhard" w:date="2015-02-20T09:52:17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Keine gute Formulierung</w:t>
      </w:r>
    </w:p>
  </w:comment>
  <w:comment w:id="5" w:author="Pascal Bernhard" w:date="2015-02-20T10:01:03Z" w:initials="">
    <w:p>
      <w:r>
        <w:rPr/>
      </w:r>
    </w:p>
  </w:comment>
  <w:comment w:id="6" w:author="Pascal Bernhard" w:date="2015-02-20T12:05:1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Diese Frage musst Du genauer erläutern. Auf den ersten Blick ist ja auch eine geringere Nachfrage zu erwarten. Wieso gehen mit einer sinkenden Bevölkerungszahl Angebot und Nachfrage nach Gütern und Dienstleistungen nicht in gleichem Maße zurück?</w:t>
      </w:r>
    </w:p>
  </w:comment>
  <w:comment w:id="7" w:author="Pascal Bernhard" w:date="2015-02-20T12:09:22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Ändert sich das Kaufverhalten der Älteren selbst, oder das Kaufverhalten der Gesellschaft insgesamt, da es mehr ältere Menschen mit ihrem altersspezifischen Kaufverhalten gibt?</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Beides, jedoch zum ersten Punkt müsstest Du etwas schreiben.</w:t>
      </w:r>
    </w:p>
  </w:comment>
  <w:comment w:id="8" w:author="Pascal Bernhard" w:date="2015-02-20T12:11:38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Formulierung</w:t>
      </w:r>
    </w:p>
  </w:comment>
  <w:comment w:id="9" w:author="Pascal Bernhard" w:date="2015-02-20T12:12:43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Wie kommt der jetzige Bevölkerungsrückgang zustande? Zuvor wurde dies doch durch Einwanderung mehr als kompensiert.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rFonts w:cs="Times New Roman" w:ascii="Times New Roman" w:hAnsi="Times New Roman"/>
        <w:sz w:val="20"/>
        <w:szCs w:val="20"/>
        <w:vertAlign w:val="superscript"/>
      </w:rPr>
    </w:pPr>
    <w:r>
      <w:rPr>
        <w:rFonts w:cs="Times New Roman" w:ascii="Times New Roman" w:hAnsi="Times New Roman"/>
        <w:sz w:val="20"/>
        <w:szCs w:val="20"/>
        <w:vertAlign w:val="superscript"/>
      </w:rPr>
    </w:r>
  </w:p>
  <w:p>
    <w:pPr>
      <w:pStyle w:val="Fuzeile"/>
      <w:rPr>
        <w:rFonts w:cs="Times New Roman" w:ascii="Times New Roman" w:hAnsi="Times New Roman"/>
        <w:sz w:val="20"/>
        <w:szCs w:val="20"/>
      </w:rPr>
    </w:pPr>
    <w:r>
      <w:rPr>
        <w:rFonts w:cs="Times New Roman" w:ascii="Times New Roman" w:hAnsi="Times New Roman"/>
        <w:sz w:val="20"/>
        <w:szCs w:val="20"/>
      </w:rPr>
    </w:r>
  </w:p>
</w:ftr>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WenQuanYi Zen Hei" w:cs="Calibri"/>
        <w:sz w:val="22"/>
        <w:szCs w:val="22"/>
        <w:lang w:val="de-DE"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WenQuanYi Zen Hei" w:cs="Calibri"/>
      <w:color w:val="00000A"/>
      <w:sz w:val="22"/>
      <w:szCs w:val="22"/>
      <w:lang w:val="de-DE" w:eastAsia="en-US" w:bidi="ar-SA"/>
    </w:rPr>
  </w:style>
  <w:style w:type="paragraph" w:styleId="Berschrift1">
    <w:name w:val="Überschrift 1"/>
    <w:uiPriority w:val="9"/>
    <w:qFormat/>
    <w:link w:val="berschrift1Zchn"/>
    <w:rsid w:val="00d24bbd"/>
    <w:basedOn w:val="Normal"/>
    <w:next w:val="Normal"/>
    <w:pPr>
      <w:keepNext/>
      <w:keepLines/>
      <w:spacing w:before="480" w:after="0"/>
      <w:outlineLvl w:val="0"/>
    </w:pPr>
    <w:rPr>
      <w:rFonts w:ascii="Cambria" w:hAnsi="Cambria" w:cs=""/>
      <w:b/>
      <w:bCs/>
      <w:color w:val="365F91"/>
      <w:sz w:val="28"/>
      <w:szCs w:val="28"/>
    </w:rPr>
  </w:style>
  <w:style w:type="paragraph" w:styleId="Berschrift2">
    <w:name w:val="Überschrift 2"/>
    <w:uiPriority w:val="9"/>
    <w:qFormat/>
    <w:unhideWhenUsed/>
    <w:link w:val="berschrift2Zchn"/>
    <w:rsid w:val="00b55951"/>
    <w:basedOn w:val="Normal"/>
    <w:next w:val="Normal"/>
    <w:pPr>
      <w:keepNext/>
      <w:keepLines/>
      <w:spacing w:before="200" w:after="0"/>
      <w:outlineLvl w:val="1"/>
    </w:pPr>
    <w:rPr>
      <w:rFonts w:ascii="Cambria" w:hAnsi="Cambria" w:cs=""/>
      <w:b/>
      <w:bCs/>
      <w:color w:val="4F81BD"/>
      <w:sz w:val="26"/>
      <w:szCs w:val="26"/>
    </w:rPr>
  </w:style>
  <w:style w:type="paragraph" w:styleId="Berschrift3">
    <w:name w:val="Überschrift 3"/>
    <w:uiPriority w:val="9"/>
    <w:qFormat/>
    <w:unhideWhenUsed/>
    <w:link w:val="berschrift3Zchn"/>
    <w:rsid w:val="00b55951"/>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Berschrift1Zchn" w:customStyle="1">
    <w:name w:val="Überschrift 1 Zchn"/>
    <w:uiPriority w:val="9"/>
    <w:link w:val="berschrift1"/>
    <w:rsid w:val="00d24bbd"/>
    <w:basedOn w:val="DefaultParagraphFont"/>
    <w:rPr>
      <w:rFonts w:ascii="Cambria" w:hAnsi="Cambria" w:cs=""/>
      <w:b/>
      <w:bCs/>
      <w:color w:val="365F91"/>
      <w:sz w:val="28"/>
      <w:szCs w:val="28"/>
    </w:rPr>
  </w:style>
  <w:style w:type="character" w:styleId="TextkrperZchn" w:customStyle="1">
    <w:name w:val="Textkörper Zchn"/>
    <w:uiPriority w:val="99"/>
    <w:link w:val="Textkrper"/>
    <w:rsid w:val="00d24bbd"/>
    <w:basedOn w:val="DefaultParagraphFont"/>
    <w:rPr/>
  </w:style>
  <w:style w:type="character" w:styleId="Annotationreference">
    <w:name w:val="annotation reference"/>
    <w:uiPriority w:val="99"/>
    <w:semiHidden/>
    <w:unhideWhenUsed/>
    <w:rsid w:val="00b55951"/>
    <w:basedOn w:val="DefaultParagraphFont"/>
    <w:rPr>
      <w:sz w:val="16"/>
      <w:szCs w:val="16"/>
    </w:rPr>
  </w:style>
  <w:style w:type="character" w:styleId="KommentartextZchn" w:customStyle="1">
    <w:name w:val="Kommentartext Zchn"/>
    <w:uiPriority w:val="99"/>
    <w:semiHidden/>
    <w:link w:val="Kommentartext"/>
    <w:rsid w:val="00b55951"/>
    <w:basedOn w:val="DefaultParagraphFont"/>
    <w:rPr>
      <w:sz w:val="20"/>
      <w:szCs w:val="20"/>
    </w:rPr>
  </w:style>
  <w:style w:type="character" w:styleId="KommentarthemaZchn" w:customStyle="1">
    <w:name w:val="Kommentarthema Zchn"/>
    <w:uiPriority w:val="99"/>
    <w:semiHidden/>
    <w:link w:val="Kommentarthema"/>
    <w:rsid w:val="00b55951"/>
    <w:basedOn w:val="KommentartextZchn"/>
    <w:rPr>
      <w:b/>
      <w:bCs/>
      <w:sz w:val="20"/>
      <w:szCs w:val="20"/>
    </w:rPr>
  </w:style>
  <w:style w:type="character" w:styleId="SprechblasentextZchn" w:customStyle="1">
    <w:name w:val="Sprechblasentext Zchn"/>
    <w:uiPriority w:val="99"/>
    <w:semiHidden/>
    <w:link w:val="Sprechblasentext"/>
    <w:rsid w:val="00b55951"/>
    <w:basedOn w:val="DefaultParagraphFont"/>
    <w:rPr>
      <w:rFonts w:ascii="Tahoma" w:hAnsi="Tahoma" w:cs="Tahoma"/>
      <w:sz w:val="16"/>
      <w:szCs w:val="16"/>
    </w:rPr>
  </w:style>
  <w:style w:type="character" w:styleId="Berschrift2Zchn" w:customStyle="1">
    <w:name w:val="Überschrift 2 Zchn"/>
    <w:uiPriority w:val="9"/>
    <w:link w:val="berschrift2"/>
    <w:rsid w:val="00b55951"/>
    <w:basedOn w:val="DefaultParagraphFont"/>
    <w:rPr>
      <w:rFonts w:ascii="Cambria" w:hAnsi="Cambria" w:cs=""/>
      <w:b/>
      <w:bCs/>
      <w:color w:val="4F81BD"/>
      <w:sz w:val="26"/>
      <w:szCs w:val="26"/>
    </w:rPr>
  </w:style>
  <w:style w:type="character" w:styleId="Berschrift3Zchn" w:customStyle="1">
    <w:name w:val="Überschrift 3 Zchn"/>
    <w:uiPriority w:val="9"/>
    <w:link w:val="berschrift3"/>
    <w:rsid w:val="00b55951"/>
    <w:basedOn w:val="DefaultParagraphFont"/>
    <w:rPr>
      <w:rFonts w:ascii="Cambria" w:hAnsi="Cambria" w:cs=""/>
      <w:b/>
      <w:bCs/>
      <w:color w:val="4F81BD"/>
    </w:rPr>
  </w:style>
  <w:style w:type="character" w:styleId="KopfzeileZchn" w:customStyle="1">
    <w:name w:val="Kopfzeile Zchn"/>
    <w:uiPriority w:val="99"/>
    <w:link w:val="Kopfzeile"/>
    <w:rsid w:val="00275b61"/>
    <w:basedOn w:val="DefaultParagraphFont"/>
    <w:rPr/>
  </w:style>
  <w:style w:type="character" w:styleId="FuzeileZchn" w:customStyle="1">
    <w:name w:val="Fußzeile Zchn"/>
    <w:uiPriority w:val="99"/>
    <w:link w:val="Fuzeile"/>
    <w:rsid w:val="00275b61"/>
    <w:basedOn w:val="DefaultParagraphFont"/>
    <w:rPr/>
  </w:style>
  <w:style w:type="character" w:styleId="Internetlink">
    <w:name w:val="Internetlink"/>
    <w:uiPriority w:val="99"/>
    <w:unhideWhenUsed/>
    <w:rsid w:val="000f58a7"/>
    <w:basedOn w:val="DefaultParagraphFont"/>
    <w:rPr>
      <w:color w:val="0000FF"/>
      <w:u w:val="single"/>
      <w:lang w:val="zxx" w:eastAsia="zxx" w:bidi="zxx"/>
    </w:rPr>
  </w:style>
  <w:style w:type="character" w:styleId="ListLabel1">
    <w:name w:val="ListLabel 1"/>
    <w:rPr>
      <w:sz w:val="24"/>
    </w:rPr>
  </w:style>
  <w:style w:type="paragraph" w:styleId="Berschrift">
    <w:name w:val="Überschrift"/>
    <w:basedOn w:val="Normal"/>
    <w:next w:val="Textkrper"/>
    <w:pPr>
      <w:keepNext/>
      <w:spacing w:before="240" w:after="120"/>
    </w:pPr>
    <w:rPr>
      <w:rFonts w:ascii="Liberation Sans" w:hAnsi="Liberation Sans" w:eastAsia="WenQuanYi Zen Hei" w:cs="Lohit Hindi"/>
      <w:sz w:val="28"/>
      <w:szCs w:val="28"/>
    </w:rPr>
  </w:style>
  <w:style w:type="paragraph" w:styleId="Textkrper">
    <w:name w:val="Textkörper"/>
    <w:uiPriority w:val="99"/>
    <w:unhideWhenUsed/>
    <w:link w:val="TextkrperZchn"/>
    <w:rsid w:val="00d24bbd"/>
    <w:basedOn w:val="Normal"/>
    <w:pPr>
      <w:spacing w:lineRule="auto" w:line="288" w:before="0" w:after="12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Annotationtext">
    <w:name w:val="annotation text"/>
    <w:uiPriority w:val="99"/>
    <w:semiHidden/>
    <w:unhideWhenUsed/>
    <w:link w:val="KommentartextZchn"/>
    <w:rsid w:val="00b55951"/>
    <w:basedOn w:val="Normal"/>
    <w:pPr>
      <w:spacing w:lineRule="auto" w:line="240"/>
    </w:pPr>
    <w:rPr>
      <w:sz w:val="20"/>
      <w:szCs w:val="20"/>
    </w:rPr>
  </w:style>
  <w:style w:type="paragraph" w:styleId="Annotationsubject">
    <w:name w:val="annotation subject"/>
    <w:uiPriority w:val="99"/>
    <w:semiHidden/>
    <w:unhideWhenUsed/>
    <w:link w:val="KommentarthemaZchn"/>
    <w:rsid w:val="00b55951"/>
    <w:basedOn w:val="Annotationtext"/>
    <w:pPr/>
    <w:rPr>
      <w:b/>
      <w:bCs/>
    </w:rPr>
  </w:style>
  <w:style w:type="paragraph" w:styleId="BalloonText">
    <w:name w:val="Balloon Text"/>
    <w:uiPriority w:val="99"/>
    <w:semiHidden/>
    <w:unhideWhenUsed/>
    <w:link w:val="SprechblasentextZchn"/>
    <w:rsid w:val="00b55951"/>
    <w:basedOn w:val="Normal"/>
    <w:pPr>
      <w:spacing w:lineRule="auto" w:line="240" w:before="0" w:after="0"/>
    </w:pPr>
    <w:rPr>
      <w:rFonts w:ascii="Tahoma" w:hAnsi="Tahoma" w:cs="Tahoma"/>
      <w:sz w:val="16"/>
      <w:szCs w:val="16"/>
    </w:rPr>
  </w:style>
  <w:style w:type="paragraph" w:styleId="Kopfzeile">
    <w:name w:val="Kopfzeile"/>
    <w:uiPriority w:val="99"/>
    <w:unhideWhenUsed/>
    <w:link w:val="KopfzeileZchn"/>
    <w:rsid w:val="00275b61"/>
    <w:basedOn w:val="Normal"/>
    <w:pPr>
      <w:tabs>
        <w:tab w:val="center" w:pos="4536" w:leader="none"/>
        <w:tab w:val="right" w:pos="9072" w:leader="none"/>
      </w:tabs>
      <w:spacing w:lineRule="auto" w:line="240" w:before="0" w:after="0"/>
    </w:pPr>
    <w:rPr/>
  </w:style>
  <w:style w:type="paragraph" w:styleId="Fuzeile">
    <w:name w:val="Fußzeile"/>
    <w:uiPriority w:val="99"/>
    <w:unhideWhenUsed/>
    <w:link w:val="FuzeileZchn"/>
    <w:rsid w:val="00275b61"/>
    <w:basedOn w:val="Normal"/>
    <w:pPr>
      <w:tabs>
        <w:tab w:val="center" w:pos="4536" w:leader="none"/>
        <w:tab w:val="right" w:pos="9072" w:leader="none"/>
      </w:tabs>
      <w:spacing w:lineRule="auto" w:line="240" w:before="0" w:after="0"/>
    </w:pPr>
    <w:rPr/>
  </w:style>
  <w:style w:type="paragraph" w:styleId="NoSpacing">
    <w:name w:val="No Spacing"/>
    <w:uiPriority w:val="1"/>
    <w:qFormat/>
    <w:rsid w:val="00702728"/>
    <w:pPr>
      <w:widowControl/>
      <w:suppressAutoHyphens w:val="true"/>
      <w:bidi w:val="0"/>
      <w:spacing w:lineRule="auto" w:line="240" w:before="0" w:after="0"/>
      <w:jc w:val="left"/>
    </w:pPr>
    <w:rPr>
      <w:rFonts w:ascii="Calibri" w:hAnsi="Calibri" w:eastAsia="WenQuanYi Zen Hei" w:cs="Calibri"/>
      <w:color w:val="00000A"/>
      <w:sz w:val="22"/>
      <w:szCs w:val="22"/>
      <w:lang w:val="de-DE" w:eastAsia="en-US" w:bidi="ar-SA"/>
    </w:rPr>
  </w:style>
  <w:style w:type="numbering" w:styleId="NoList" w:default="1">
    <w:name w:val="No List"/>
    <w:uiPriority w:val="99"/>
    <w:semiHidden/>
    <w:unhideWhenUsed/>
  </w:style>
  <w:style w:type="numbering" w:styleId="Formatvorlage1" w:customStyle="1">
    <w:name w:val="Formatvorlage1"/>
    <w:uiPriority w:val="99"/>
    <w:rsid w:val="00ec30d5"/>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hyperlink" Target="https://www.destatis.de/bevoelkerungspyramide/" TargetMode="External"/><Relationship Id="rId4" Type="http://schemas.openxmlformats.org/officeDocument/2006/relationships/image" Target="media/image2"/><Relationship Id="rId5" Type="http://schemas.openxmlformats.org/officeDocument/2006/relationships/hyperlink" Target="https://www.destatis.de/bevoelkerungspyramide/" TargetMode="External"/><Relationship Id="rId6" Type="http://schemas.openxmlformats.org/officeDocument/2006/relationships/image" Target="media/image3"/><Relationship Id="rId7" Type="http://schemas.openxmlformats.org/officeDocument/2006/relationships/image" Target="media/image4"/><Relationship Id="rId8" Type="http://schemas.openxmlformats.org/officeDocument/2006/relationships/hyperlink" Target="http://www.berliner-zeitung.de/archiv/welche-probleme-es-mit-der-krankenkasse-geben-kann---und-wie-man-sie-angeht-weniger-leistung,10810590,10258538.html" TargetMode="External"/><Relationship Id="rId9" Type="http://schemas.openxmlformats.org/officeDocument/2006/relationships/hyperlink" Target="http://www.berliner-zeitung.de/archiv/gesundheitsreform---die-koalition-versucht--die-finanzierung-der-krankenkassen-trotz-steigender-ausgaben-zu-sichern--herausgekommen-ist-eine-komplizierte-rechnung-mit-einem-einfachen-ergebnis--es-wird-teuer,10810590,10728296.html" TargetMode="Externa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56813-819A-4999-9EAE-773DD3F2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2015-02-11T13:29:00Z</dcterms:created>
  <dc:creator>meze0512</dc:creator>
  <dc:language>de-DE</dc:language>
  <cp:lastModifiedBy>Metin Ünlü</cp:lastModifiedBy>
  <cp:lastPrinted>2015-02-19T14:28:00Z</cp:lastPrinted>
  <dcterms:modified xsi:type="dcterms:W3CDTF">2015-02-20T07:57:00Z</dcterms:modified>
  <cp:revision>439</cp:revision>
</cp:coreProperties>
</file>