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14879" w:type="dxa"/>
        <w:jc w:val="left"/>
        <w:tblInd w:w="0" w:type="dxa"/>
        <w:tblCellMar>
          <w:top w:w="0" w:type="dxa"/>
          <w:left w:w="108" w:type="dxa"/>
          <w:bottom w:w="0" w:type="dxa"/>
          <w:right w:w="108" w:type="dxa"/>
        </w:tblCellMar>
        <w:tblLook w:val="04a0" w:noVBand="1" w:noHBand="0" w:lastColumn="0" w:firstColumn="1" w:lastRow="0" w:firstRow="1"/>
      </w:tblPr>
      <w:tblGrid>
        <w:gridCol w:w="1980"/>
        <w:gridCol w:w="1277"/>
        <w:gridCol w:w="1842"/>
        <w:gridCol w:w="1418"/>
        <w:gridCol w:w="1700"/>
        <w:gridCol w:w="1701"/>
        <w:gridCol w:w="1701"/>
        <w:gridCol w:w="1416"/>
        <w:gridCol w:w="1842"/>
      </w:tblGrid>
      <w:tr>
        <w:trPr/>
        <w:tc>
          <w:tcPr>
            <w:tcW w:w="1980" w:type="dxa"/>
            <w:tcBorders/>
            <w:shd w:fill="auto" w:val="clear"/>
            <w:tcMar>
              <w:left w:w="108" w:type="dxa"/>
            </w:tcMar>
          </w:tcPr>
          <w:p>
            <w:pPr>
              <w:pStyle w:val="Normal"/>
              <w:spacing w:lineRule="auto" w:line="240" w:before="0" w:after="0"/>
              <w:rPr/>
            </w:pPr>
            <w:r>
              <w:rPr/>
              <w:t>Legislatur</w:t>
            </w:r>
          </w:p>
        </w:tc>
        <w:tc>
          <w:tcPr>
            <w:tcW w:w="1277" w:type="dxa"/>
            <w:tcBorders/>
            <w:shd w:color="auto" w:fill="FF0000" w:val="clear"/>
            <w:tcMar>
              <w:left w:w="108" w:type="dxa"/>
            </w:tcMar>
          </w:tcPr>
          <w:p>
            <w:pPr>
              <w:pStyle w:val="Normal"/>
              <w:spacing w:lineRule="auto" w:line="240" w:before="0" w:after="0"/>
              <w:rPr/>
            </w:pPr>
            <w:r>
              <w:rPr/>
              <w:t>SPD</w:t>
            </w:r>
          </w:p>
        </w:tc>
        <w:tc>
          <w:tcPr>
            <w:tcW w:w="1842" w:type="dxa"/>
            <w:tcBorders/>
            <w:shd w:color="auto" w:fill="92D050" w:val="clear"/>
            <w:tcMar>
              <w:left w:w="108" w:type="dxa"/>
            </w:tcMar>
          </w:tcPr>
          <w:p>
            <w:pPr>
              <w:pStyle w:val="Normal"/>
              <w:spacing w:lineRule="auto" w:line="240" w:before="0" w:after="0"/>
              <w:rPr/>
            </w:pPr>
            <w:r>
              <w:rPr/>
              <w:t>Grüne</w:t>
            </w:r>
          </w:p>
        </w:tc>
        <w:tc>
          <w:tcPr>
            <w:tcW w:w="1418" w:type="dxa"/>
            <w:tcBorders/>
            <w:shd w:color="auto" w:fill="262626" w:themeFill="text1" w:themeFillTint="d9" w:val="clear"/>
            <w:tcMar>
              <w:left w:w="108" w:type="dxa"/>
            </w:tcMar>
          </w:tcPr>
          <w:p>
            <w:pPr>
              <w:pStyle w:val="Normal"/>
              <w:spacing w:lineRule="auto" w:line="240" w:before="0" w:after="0"/>
              <w:rPr>
                <w:color w:val="FFFFFF" w:themeColor="background1"/>
              </w:rPr>
            </w:pPr>
            <w:r>
              <w:rPr>
                <w:color w:val="FFFFFF" w:themeColor="background1"/>
              </w:rPr>
              <w:t>CDU</w:t>
            </w:r>
          </w:p>
        </w:tc>
        <w:tc>
          <w:tcPr>
            <w:tcW w:w="1700" w:type="dxa"/>
            <w:tcBorders/>
            <w:shd w:color="auto" w:fill="FF0000" w:val="clear"/>
            <w:tcMar>
              <w:left w:w="108" w:type="dxa"/>
            </w:tcMar>
          </w:tcPr>
          <w:p>
            <w:pPr>
              <w:pStyle w:val="Normal"/>
              <w:spacing w:lineRule="auto" w:line="240" w:before="0" w:after="0"/>
              <w:rPr/>
            </w:pPr>
            <w:r>
              <w:rPr/>
              <w:t>SPD</w:t>
            </w:r>
          </w:p>
        </w:tc>
        <w:tc>
          <w:tcPr>
            <w:tcW w:w="1701" w:type="dxa"/>
            <w:tcBorders/>
            <w:shd w:color="auto" w:fill="262626" w:themeFill="text1" w:themeFillTint="d9" w:val="clear"/>
            <w:tcMar>
              <w:left w:w="108" w:type="dxa"/>
            </w:tcMar>
          </w:tcPr>
          <w:p>
            <w:pPr>
              <w:pStyle w:val="Normal"/>
              <w:spacing w:lineRule="auto" w:line="240" w:before="0" w:after="0"/>
              <w:rPr/>
            </w:pPr>
            <w:r>
              <w:rPr/>
              <w:t>CDU</w:t>
            </w:r>
          </w:p>
        </w:tc>
        <w:tc>
          <w:tcPr>
            <w:tcW w:w="1701" w:type="dxa"/>
            <w:tcBorders/>
            <w:shd w:color="auto" w:fill="FFFF00" w:val="clear"/>
            <w:tcMar>
              <w:left w:w="108" w:type="dxa"/>
            </w:tcMar>
          </w:tcPr>
          <w:p>
            <w:pPr>
              <w:pStyle w:val="Normal"/>
              <w:spacing w:lineRule="auto" w:line="240" w:before="0" w:after="0"/>
              <w:rPr/>
            </w:pPr>
            <w:r>
              <w:rPr/>
              <w:t>FDP</w:t>
            </w:r>
          </w:p>
        </w:tc>
        <w:tc>
          <w:tcPr>
            <w:tcW w:w="1416" w:type="dxa"/>
            <w:tcBorders/>
            <w:shd w:color="auto" w:fill="000000" w:themeFill="text1" w:val="clear"/>
            <w:tcMar>
              <w:left w:w="108" w:type="dxa"/>
            </w:tcMar>
          </w:tcPr>
          <w:p>
            <w:pPr>
              <w:pStyle w:val="Normal"/>
              <w:spacing w:lineRule="auto" w:line="240" w:before="0" w:after="0"/>
              <w:rPr/>
            </w:pPr>
            <w:r>
              <w:rPr/>
              <w:t>CDU</w:t>
            </w:r>
          </w:p>
        </w:tc>
        <w:tc>
          <w:tcPr>
            <w:tcW w:w="1842" w:type="dxa"/>
            <w:tcBorders/>
            <w:shd w:color="auto" w:fill="FF0000" w:val="clear"/>
            <w:tcMar>
              <w:left w:w="108" w:type="dxa"/>
            </w:tcMar>
          </w:tcPr>
          <w:p>
            <w:pPr>
              <w:pStyle w:val="Normal"/>
              <w:spacing w:lineRule="auto" w:line="240" w:before="0" w:after="0"/>
              <w:rPr/>
            </w:pPr>
            <w:r>
              <w:rPr/>
              <w:t>SPD</w:t>
            </w:r>
          </w:p>
        </w:tc>
      </w:tr>
      <w:tr>
        <w:trPr/>
        <w:tc>
          <w:tcPr>
            <w:tcW w:w="1980" w:type="dxa"/>
            <w:tcBorders/>
            <w:shd w:fill="auto" w:val="clear"/>
            <w:tcMar>
              <w:left w:w="108" w:type="dxa"/>
            </w:tcMar>
          </w:tcPr>
          <w:p>
            <w:pPr>
              <w:pStyle w:val="Normal"/>
              <w:spacing w:lineRule="auto" w:line="240" w:before="0" w:after="0"/>
              <w:rPr/>
            </w:pPr>
            <w:r>
              <w:rPr/>
              <w:t>Zeitraum</w:t>
            </w:r>
          </w:p>
        </w:tc>
        <w:tc>
          <w:tcPr>
            <w:tcW w:w="1277" w:type="dxa"/>
            <w:tcBorders/>
            <w:shd w:fill="auto" w:val="clear"/>
            <w:tcMar>
              <w:left w:w="108" w:type="dxa"/>
            </w:tcMar>
          </w:tcPr>
          <w:p>
            <w:pPr>
              <w:pStyle w:val="Normal"/>
              <w:spacing w:lineRule="auto" w:line="240" w:before="0" w:after="0"/>
              <w:rPr/>
            </w:pPr>
            <w:r>
              <w:rPr/>
              <w:t>2002-2005</w:t>
            </w:r>
          </w:p>
        </w:tc>
        <w:tc>
          <w:tcPr>
            <w:tcW w:w="1842" w:type="dxa"/>
            <w:tcBorders/>
            <w:shd w:fill="auto" w:val="clear"/>
            <w:tcMar>
              <w:left w:w="108" w:type="dxa"/>
            </w:tcMar>
          </w:tcPr>
          <w:p>
            <w:pPr>
              <w:pStyle w:val="Normal"/>
              <w:spacing w:lineRule="auto" w:line="240" w:before="0" w:after="0"/>
              <w:rPr/>
            </w:pPr>
            <w:r>
              <w:rPr/>
              <w:t>15. Wahlperiode</w:t>
            </w:r>
          </w:p>
        </w:tc>
        <w:tc>
          <w:tcPr>
            <w:tcW w:w="1418" w:type="dxa"/>
            <w:tcBorders/>
            <w:shd w:fill="auto" w:val="clear"/>
            <w:tcMar>
              <w:left w:w="108" w:type="dxa"/>
            </w:tcMar>
          </w:tcPr>
          <w:p>
            <w:pPr>
              <w:pStyle w:val="Normal"/>
              <w:spacing w:lineRule="auto" w:line="240" w:before="0" w:after="0"/>
              <w:rPr/>
            </w:pPr>
            <w:r>
              <w:rPr/>
              <w:t>2005-2009</w:t>
            </w:r>
          </w:p>
        </w:tc>
        <w:tc>
          <w:tcPr>
            <w:tcW w:w="1700" w:type="dxa"/>
            <w:tcBorders/>
            <w:shd w:fill="auto" w:val="clear"/>
            <w:tcMar>
              <w:left w:w="108" w:type="dxa"/>
            </w:tcMar>
          </w:tcPr>
          <w:p>
            <w:pPr>
              <w:pStyle w:val="Normal"/>
              <w:spacing w:lineRule="auto" w:line="240" w:before="0" w:after="0"/>
              <w:rPr/>
            </w:pPr>
            <w:r>
              <w:rPr/>
              <w:t>16.Wahlperiode</w:t>
            </w:r>
          </w:p>
        </w:tc>
        <w:tc>
          <w:tcPr>
            <w:tcW w:w="1701" w:type="dxa"/>
            <w:tcBorders/>
            <w:shd w:fill="auto" w:val="clear"/>
            <w:tcMar>
              <w:left w:w="108" w:type="dxa"/>
            </w:tcMar>
          </w:tcPr>
          <w:p>
            <w:pPr>
              <w:pStyle w:val="Normal"/>
              <w:spacing w:lineRule="auto" w:line="240" w:before="0" w:after="0"/>
              <w:rPr/>
            </w:pPr>
            <w:r>
              <w:rPr/>
              <w:t>2009-2013</w:t>
            </w:r>
          </w:p>
        </w:tc>
        <w:tc>
          <w:tcPr>
            <w:tcW w:w="1701" w:type="dxa"/>
            <w:tcBorders/>
            <w:shd w:fill="auto" w:val="clear"/>
            <w:tcMar>
              <w:left w:w="108" w:type="dxa"/>
            </w:tcMar>
          </w:tcPr>
          <w:p>
            <w:pPr>
              <w:pStyle w:val="Normal"/>
              <w:spacing w:lineRule="auto" w:line="240" w:before="0" w:after="0"/>
              <w:rPr/>
            </w:pPr>
            <w:r>
              <w:rPr/>
              <w:t>17.Wahlperiode</w:t>
            </w:r>
          </w:p>
        </w:tc>
        <w:tc>
          <w:tcPr>
            <w:tcW w:w="1416" w:type="dxa"/>
            <w:tcBorders/>
            <w:shd w:fill="auto" w:val="clear"/>
            <w:tcMar>
              <w:left w:w="108" w:type="dxa"/>
            </w:tcMar>
          </w:tcPr>
          <w:p>
            <w:pPr>
              <w:pStyle w:val="Normal"/>
              <w:spacing w:lineRule="auto" w:line="240" w:before="0" w:after="0"/>
              <w:rPr/>
            </w:pPr>
            <w:r>
              <w:rPr/>
              <w:t>2013-2017</w:t>
            </w:r>
          </w:p>
        </w:tc>
        <w:tc>
          <w:tcPr>
            <w:tcW w:w="1842" w:type="dxa"/>
            <w:tcBorders/>
            <w:shd w:fill="auto" w:val="clear"/>
            <w:tcMar>
              <w:left w:w="108" w:type="dxa"/>
            </w:tcMar>
          </w:tcPr>
          <w:p>
            <w:pPr>
              <w:pStyle w:val="Normal"/>
              <w:spacing w:lineRule="auto" w:line="240" w:before="0" w:after="0"/>
              <w:rPr/>
            </w:pPr>
            <w:r>
              <w:rPr/>
              <w:t>18 Wahlperiode</w:t>
            </w:r>
          </w:p>
        </w:tc>
      </w:tr>
      <w:tr>
        <w:trPr/>
        <w:tc>
          <w:tcPr>
            <w:tcW w:w="1980" w:type="dxa"/>
            <w:tcBorders/>
            <w:shd w:fill="auto" w:val="clear"/>
            <w:tcMar>
              <w:left w:w="108" w:type="dxa"/>
            </w:tcMar>
          </w:tcPr>
          <w:p>
            <w:pPr>
              <w:pStyle w:val="Normal"/>
              <w:spacing w:lineRule="auto" w:line="240" w:before="0" w:after="0"/>
              <w:rPr/>
            </w:pPr>
            <w:r>
              <w:rPr/>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AÜG in Kraft</w:t>
            </w:r>
          </w:p>
        </w:tc>
        <w:tc>
          <w:tcPr>
            <w:tcW w:w="3119" w:type="dxa"/>
            <w:gridSpan w:val="2"/>
            <w:tcBorders/>
            <w:shd w:fill="auto" w:val="clear"/>
            <w:tcMar>
              <w:left w:w="108" w:type="dxa"/>
            </w:tcMar>
          </w:tcPr>
          <w:p>
            <w:pPr>
              <w:pStyle w:val="Normal"/>
              <w:spacing w:lineRule="auto" w:line="240" w:before="0" w:after="0"/>
              <w:rPr/>
            </w:pPr>
            <w:r>
              <w:rPr/>
              <w:t>Verabschiedet: 23.12.2002 im Rahmen des ersten Gesetzes für moderne Dienstleistungen</w:t>
            </w:r>
          </w:p>
          <w:p>
            <w:pPr>
              <w:pStyle w:val="Normal"/>
              <w:spacing w:lineRule="auto" w:line="240" w:before="0" w:after="0"/>
              <w:rPr/>
            </w:pPr>
            <w:r>
              <w:rPr/>
              <w:t>In Kraft: 1.1 2003 mit Übergangsfrist bis 1.1.2004</w:t>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pPr>
            <w:r>
              <w:rPr/>
              <w:t>Änderung in Folge der Richtlinie</w:t>
            </w:r>
          </w:p>
        </w:tc>
        <w:tc>
          <w:tcPr>
            <w:tcW w:w="3258" w:type="dxa"/>
            <w:gridSpan w:val="2"/>
            <w:tcBorders/>
            <w:shd w:fill="auto" w:val="clear"/>
            <w:tcMar>
              <w:left w:w="108" w:type="dxa"/>
            </w:tcMar>
          </w:tcPr>
          <w:p>
            <w:pPr>
              <w:pStyle w:val="Normal"/>
              <w:spacing w:lineRule="auto" w:line="240" w:before="0" w:after="0"/>
              <w:rPr/>
            </w:pPr>
            <w:r>
              <w:rPr/>
              <w:t>Änderungen</w:t>
            </w:r>
          </w:p>
          <w:p>
            <w:pPr>
              <w:pStyle w:val="Normal"/>
              <w:spacing w:lineRule="auto" w:line="240" w:before="0" w:after="0"/>
              <w:rPr/>
            </w:pPr>
            <w:r>
              <w:rPr/>
              <w:t>11.08 2014 § 3.5 Lohnuntergrenze im Kontext von Mindestlohn</w:t>
            </w:r>
          </w:p>
        </w:tc>
      </w:tr>
      <w:tr>
        <w:trPr/>
        <w:tc>
          <w:tcPr>
            <w:tcW w:w="1980" w:type="dxa"/>
            <w:tcBorders/>
            <w:shd w:fill="auto" w:val="clear"/>
            <w:tcMar>
              <w:left w:w="108" w:type="dxa"/>
            </w:tcMar>
          </w:tcPr>
          <w:p>
            <w:pPr>
              <w:pStyle w:val="Normal"/>
              <w:spacing w:lineRule="auto" w:line="240" w:before="0" w:after="0"/>
              <w:rPr/>
            </w:pPr>
            <w:r>
              <w:rPr/>
              <w:t>PAS Personalservicagenturen</w:t>
            </w:r>
          </w:p>
        </w:tc>
        <w:tc>
          <w:tcPr>
            <w:tcW w:w="3119" w:type="dxa"/>
            <w:gridSpan w:val="2"/>
            <w:tcBorders/>
            <w:shd w:fill="auto" w:val="clear"/>
            <w:tcMar>
              <w:left w:w="108" w:type="dxa"/>
            </w:tcMar>
          </w:tcPr>
          <w:p>
            <w:pPr>
              <w:pStyle w:val="Normal"/>
              <w:spacing w:lineRule="auto" w:line="240" w:before="0" w:after="0"/>
              <w:rPr/>
            </w:pPr>
            <w:r>
              <w:rPr/>
              <w:t>PSA gegründet</w:t>
            </w:r>
          </w:p>
          <w:p>
            <w:pPr>
              <w:pStyle w:val="Normal"/>
              <w:spacing w:lineRule="auto" w:line="240" w:before="0" w:after="0"/>
              <w:rPr/>
            </w:pPr>
            <w:r>
              <w:rPr/>
              <w:t>PSA war ein zentrales Element der Reformvorschläge der Hartz-Kommission</w:t>
            </w:r>
          </w:p>
          <w:p>
            <w:pPr>
              <w:pStyle w:val="Normal"/>
              <w:spacing w:lineRule="auto" w:line="240" w:before="0" w:after="0"/>
              <w:rPr/>
            </w:pPr>
            <w:r>
              <w:rPr/>
            </w:r>
          </w:p>
          <w:p>
            <w:pPr>
              <w:pStyle w:val="Normal"/>
              <w:spacing w:lineRule="auto" w:line="240" w:before="0" w:after="0"/>
              <w:rPr/>
            </w:pPr>
            <w:r>
              <w:rPr/>
              <w:t>Arbeitsmarkt spezifisches Intrument:</w:t>
            </w:r>
          </w:p>
          <w:p>
            <w:pPr>
              <w:pStyle w:val="Normal"/>
              <w:spacing w:lineRule="auto" w:line="240" w:before="0" w:after="0"/>
              <w:rPr/>
            </w:pPr>
            <w:r>
              <w:rPr/>
            </w:r>
          </w:p>
          <w:p>
            <w:pPr>
              <w:pStyle w:val="Normal"/>
              <w:spacing w:lineRule="auto" w:line="240" w:before="0" w:after="0"/>
              <w:rPr/>
            </w:pPr>
            <w:r>
              <w:rPr/>
              <w:t xml:space="preserve">AMÜ mit integierter Arbeitsvermittlungm überwiegt Problemgruppen des Arbeitsarbeitsmarktes. </w:t>
            </w:r>
          </w:p>
          <w:p>
            <w:pPr>
              <w:pStyle w:val="Normal"/>
              <w:spacing w:lineRule="auto" w:line="240" w:before="0" w:after="0"/>
              <w:rPr/>
            </w:pPr>
            <w:r>
              <w:rPr/>
              <w:t>Weiterbildung in Zeiten der Nicht Tätigkeit.</w:t>
            </w:r>
          </w:p>
          <w:p>
            <w:pPr>
              <w:pStyle w:val="Normal"/>
              <w:spacing w:lineRule="auto" w:line="240" w:before="0" w:after="0"/>
              <w:rPr/>
            </w:pPr>
            <w:r>
              <w:rPr/>
            </w:r>
          </w:p>
          <w:p>
            <w:pPr>
              <w:pStyle w:val="Normal"/>
              <w:spacing w:lineRule="auto" w:line="240" w:before="0" w:after="0"/>
              <w:rPr/>
            </w:pPr>
            <w:r>
              <w:rPr/>
              <w:t xml:space="preserve">Zielgroße waren 500.000 Beschäftige </w:t>
            </w:r>
          </w:p>
          <w:p>
            <w:pPr>
              <w:pStyle w:val="Normal"/>
              <w:spacing w:lineRule="auto" w:line="240" w:before="0" w:after="0"/>
              <w:rPr/>
            </w:pPr>
            <w:r>
              <w:rPr/>
            </w:r>
          </w:p>
          <w:p>
            <w:pPr>
              <w:pStyle w:val="Normal"/>
              <w:spacing w:lineRule="auto" w:line="240" w:before="0" w:after="0"/>
              <w:rPr/>
            </w:pPr>
            <w:r>
              <w:rPr/>
              <w:t xml:space="preserve">Idee: Die PAS stellt eine eigne Einheit dar,(vgl. §37c SGB III) und unterliegt dem Wettbewerb und agiert unter Gesichtspunkten der Wirtschaftlichkeit </w:t>
            </w:r>
          </w:p>
        </w:tc>
        <w:tc>
          <w:tcPr>
            <w:tcW w:w="3118" w:type="dxa"/>
            <w:gridSpan w:val="2"/>
            <w:tcBorders/>
            <w:shd w:fill="auto" w:val="clear"/>
            <w:tcMar>
              <w:left w:w="108" w:type="dxa"/>
            </w:tcMar>
          </w:tcPr>
          <w:p>
            <w:pPr>
              <w:pStyle w:val="Normal"/>
              <w:spacing w:lineRule="auto" w:line="240" w:before="0" w:after="0"/>
              <w:rPr/>
            </w:pPr>
            <w:r>
              <w:rPr/>
              <w:t xml:space="preserve">Schließung der PAS nach Urteil des Finanzrechungshofes </w:t>
            </w:r>
          </w:p>
          <w:p>
            <w:pPr>
              <w:pStyle w:val="Normal"/>
              <w:spacing w:lineRule="auto" w:line="240" w:before="0" w:after="0"/>
              <w:rPr/>
            </w:pPr>
            <w:r>
              <w:rPr/>
              <w:t>Wegen Geldverschwendung</w:t>
            </w:r>
          </w:p>
          <w:p>
            <w:pPr>
              <w:pStyle w:val="Normal"/>
              <w:spacing w:lineRule="auto" w:line="240" w:before="0" w:after="0"/>
              <w:rPr/>
            </w:pPr>
            <w:r>
              <w:rPr/>
            </w:r>
          </w:p>
          <w:p>
            <w:pPr>
              <w:pStyle w:val="Normal"/>
              <w:spacing w:lineRule="auto" w:line="240" w:before="0" w:after="0"/>
              <w:rPr/>
            </w:pPr>
            <w:r>
              <w:rPr/>
              <w:t>Zudem Konkurenz für gewerbliche AMÜ-Unternehmen</w:t>
            </w:r>
          </w:p>
          <w:p>
            <w:pPr>
              <w:pStyle w:val="Normal"/>
              <w:spacing w:lineRule="auto" w:line="240" w:before="0" w:after="0"/>
              <w:rPr/>
            </w:pPr>
            <w:r>
              <w:rPr/>
            </w:r>
          </w:p>
          <w:p>
            <w:pPr>
              <w:pStyle w:val="Normal"/>
              <w:spacing w:lineRule="auto" w:line="240" w:before="0" w:after="0"/>
              <w:rPr/>
            </w:pPr>
            <w:r>
              <w:rPr/>
              <w:t xml:space="preserve">Kein Durchschlagender Erfolg bei der Vermittlung in Arbeit </w:t>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Christliche Gewerkschaften</w:t>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t>Ver.di und Berlin Senat</w:t>
            </w:r>
          </w:p>
          <w:p>
            <w:pPr>
              <w:pStyle w:val="Normal"/>
              <w:spacing w:lineRule="auto" w:line="240" w:before="0" w:after="0"/>
              <w:rPr/>
            </w:pPr>
            <w:r>
              <w:rPr/>
              <w:t xml:space="preserve">Stellen Antrag auf Feststellung der Tarifunfährigkeit der Christlischen Gewerkschaften </w:t>
            </w:r>
          </w:p>
        </w:tc>
        <w:tc>
          <w:tcPr>
            <w:tcW w:w="3402" w:type="dxa"/>
            <w:gridSpan w:val="2"/>
            <w:tcBorders/>
            <w:shd w:fill="auto" w:val="clear"/>
            <w:tcMar>
              <w:left w:w="108" w:type="dxa"/>
            </w:tcMar>
          </w:tcPr>
          <w:p>
            <w:pPr>
              <w:pStyle w:val="Normal"/>
              <w:spacing w:lineRule="auto" w:line="240" w:before="0" w:after="0"/>
              <w:rPr/>
            </w:pPr>
            <w:r>
              <w:rPr/>
              <w:t xml:space="preserve">LAG. Bestättig Tarifunfähigkeit der Christlichen Gewerkschaften </w:t>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Bericht zum AÜG</w:t>
            </w:r>
          </w:p>
        </w:tc>
        <w:tc>
          <w:tcPr>
            <w:tcW w:w="3119" w:type="dxa"/>
            <w:gridSpan w:val="2"/>
            <w:tcBorders/>
            <w:shd w:fill="auto" w:val="clear"/>
            <w:tcMar>
              <w:left w:w="108" w:type="dxa"/>
            </w:tcMar>
          </w:tcPr>
          <w:p>
            <w:pPr>
              <w:pStyle w:val="Normal"/>
              <w:spacing w:lineRule="auto" w:line="240" w:before="0" w:after="0"/>
              <w:rPr/>
            </w:pPr>
            <w:r>
              <w:rPr/>
              <w:t>9. Bericht zum AÜG</w:t>
            </w:r>
          </w:p>
          <w:p>
            <w:pPr>
              <w:pStyle w:val="Normal"/>
              <w:spacing w:lineRule="auto" w:line="240" w:before="0" w:after="0"/>
              <w:rPr/>
            </w:pPr>
            <w:r>
              <w:rPr/>
              <w:t>Muss nicht diskutiert werden, da er die alten Regelung abgreift das AÜG beleuchtet</w:t>
            </w:r>
          </w:p>
        </w:tc>
        <w:tc>
          <w:tcPr>
            <w:tcW w:w="3118" w:type="dxa"/>
            <w:gridSpan w:val="2"/>
            <w:tcBorders/>
            <w:shd w:fill="auto" w:val="clear"/>
            <w:tcMar>
              <w:left w:w="108" w:type="dxa"/>
            </w:tcMar>
          </w:tcPr>
          <w:p>
            <w:pPr>
              <w:pStyle w:val="Normal"/>
              <w:spacing w:lineRule="auto" w:line="240" w:before="0" w:after="0"/>
              <w:rPr/>
            </w:pPr>
            <w:r>
              <w:rPr/>
              <w:t>10. Bericht vom 27.09.05 für den Zeitraum</w:t>
            </w:r>
            <w:r>
              <w:rPr>
                <w:vertAlign w:val="superscript"/>
              </w:rPr>
              <w:t>2 200</w:t>
            </w:r>
            <w:r>
              <w:rPr/>
              <w:t>2000 2004</w:t>
            </w:r>
          </w:p>
          <w:p>
            <w:pPr>
              <w:pStyle w:val="Normal"/>
              <w:spacing w:lineRule="auto" w:line="240" w:before="0" w:after="0"/>
              <w:rPr>
                <w:vertAlign w:val="superscript"/>
              </w:rPr>
            </w:pPr>
            <w:r>
              <w:rPr/>
              <w:t>Besonderheit: Trennung illegale Beschäftigung</w:t>
            </w:r>
          </w:p>
        </w:tc>
        <w:tc>
          <w:tcPr>
            <w:tcW w:w="3402" w:type="dxa"/>
            <w:gridSpan w:val="2"/>
            <w:tcBorders/>
            <w:shd w:fill="auto" w:val="clear"/>
            <w:tcMar>
              <w:left w:w="108" w:type="dxa"/>
            </w:tcMar>
          </w:tcPr>
          <w:p>
            <w:pPr>
              <w:pStyle w:val="Normal"/>
              <w:spacing w:lineRule="auto" w:line="240" w:before="0" w:after="0"/>
              <w:rPr/>
            </w:pPr>
            <w:r>
              <w:rPr/>
              <w:t>11. Bericht vom 18.01 2010 für Zeitraum 2004-08</w:t>
            </w:r>
          </w:p>
          <w:p>
            <w:pPr>
              <w:pStyle w:val="Normal"/>
              <w:spacing w:lineRule="auto" w:line="240" w:before="0" w:after="0"/>
              <w:rPr/>
            </w:pPr>
            <w:r>
              <w:rPr/>
              <w:t>BT-Drs.: 17/464</w:t>
            </w:r>
          </w:p>
        </w:tc>
        <w:tc>
          <w:tcPr>
            <w:tcW w:w="3258" w:type="dxa"/>
            <w:gridSpan w:val="2"/>
            <w:tcBorders/>
            <w:shd w:fill="auto" w:val="clear"/>
            <w:tcMar>
              <w:left w:w="108" w:type="dxa"/>
            </w:tcMar>
          </w:tcPr>
          <w:p>
            <w:pPr>
              <w:pStyle w:val="Normal"/>
              <w:spacing w:lineRule="auto" w:line="240" w:before="0" w:after="0"/>
              <w:rPr/>
            </w:pPr>
            <w:r>
              <w:rPr/>
              <w:t>12. Bericht vom 26.02.2014 für Zeitraum 2009-2012</w:t>
            </w:r>
          </w:p>
          <w:p>
            <w:pPr>
              <w:pStyle w:val="Normal"/>
              <w:spacing w:lineRule="auto" w:line="240" w:before="0" w:after="0"/>
              <w:rPr/>
            </w:pPr>
            <w:r>
              <w:rPr/>
              <w:t>BT-Drs.:15/6008</w:t>
            </w:r>
          </w:p>
        </w:tc>
      </w:tr>
      <w:tr>
        <w:trPr/>
        <w:tc>
          <w:tcPr>
            <w:tcW w:w="1980" w:type="dxa"/>
            <w:tcBorders/>
            <w:shd w:fill="auto" w:val="clear"/>
            <w:tcMar>
              <w:left w:w="108" w:type="dxa"/>
            </w:tcMar>
          </w:tcPr>
          <w:p>
            <w:pPr>
              <w:pStyle w:val="Normal"/>
              <w:spacing w:lineRule="auto" w:line="240" w:before="0" w:after="0"/>
              <w:rPr>
                <w:vertAlign w:val="superscript"/>
              </w:rPr>
            </w:pPr>
            <w:r>
              <w:rPr/>
              <w:t>BAG Entscheidungen</w:t>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BverfG.</w:t>
            </w:r>
          </w:p>
        </w:tc>
        <w:tc>
          <w:tcPr>
            <w:tcW w:w="3119" w:type="dxa"/>
            <w:gridSpan w:val="2"/>
            <w:tcBorders/>
            <w:shd w:fill="auto" w:val="clear"/>
            <w:tcMar>
              <w:left w:w="108" w:type="dxa"/>
            </w:tcMar>
          </w:tcPr>
          <w:p>
            <w:pPr>
              <w:pStyle w:val="Normal"/>
              <w:spacing w:lineRule="auto" w:line="240" w:before="0" w:after="0"/>
              <w:rPr/>
            </w:pPr>
            <w:r>
              <w:rPr/>
              <w:t xml:space="preserve">2004: Bestättigung des Equal pay Gebotes, Ablehnung </w:t>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Skandale</w:t>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vertAlign w:val="superscript"/>
              </w:rPr>
            </w:pPr>
            <w:r>
              <w:rPr/>
              <w:t>Fall: Schlecker/ Drehtüreffekt</w:t>
            </w:r>
            <w:r>
              <w:rPr>
                <w:vertAlign w:val="superscript"/>
              </w:rPr>
              <w:t>1</w:t>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Europäischer Einfluß</w:t>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t xml:space="preserve">RL Zeitarbeit </w:t>
            </w:r>
          </w:p>
        </w:tc>
        <w:tc>
          <w:tcPr>
            <w:tcW w:w="3402" w:type="dxa"/>
            <w:gridSpan w:val="2"/>
            <w:tcBorders/>
            <w:shd w:fill="auto" w:val="clear"/>
            <w:tcMar>
              <w:left w:w="108" w:type="dxa"/>
            </w:tcMar>
          </w:tcPr>
          <w:p>
            <w:pPr>
              <w:pStyle w:val="Normal"/>
              <w:spacing w:lineRule="auto" w:line="240" w:before="0" w:after="0"/>
              <w:rPr/>
            </w:pPr>
            <w:r>
              <w:rPr/>
              <w:t>Umsetzung RL Zeitarbeit</w:t>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IAB Berichte</w:t>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t xml:space="preserve">Abschlußbericht Forschungsbericht Leiharbeit </w:t>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Sonstige Forschungsberichte</w:t>
            </w:r>
          </w:p>
        </w:tc>
        <w:tc>
          <w:tcPr>
            <w:tcW w:w="3119" w:type="dxa"/>
            <w:gridSpan w:val="2"/>
            <w:tcBorders/>
            <w:shd w:fill="auto" w:val="clear"/>
            <w:tcMar>
              <w:left w:w="108" w:type="dxa"/>
            </w:tcMar>
          </w:tcPr>
          <w:p>
            <w:pPr>
              <w:pStyle w:val="Normal"/>
              <w:spacing w:lineRule="auto" w:line="240" w:before="0" w:after="0"/>
              <w:rPr/>
            </w:pPr>
            <w:r>
              <w:rPr/>
            </w:r>
          </w:p>
        </w:tc>
        <w:tc>
          <w:tcPr>
            <w:tcW w:w="3118" w:type="dxa"/>
            <w:gridSpan w:val="2"/>
            <w:tcBorders/>
            <w:shd w:fill="auto" w:val="clear"/>
            <w:tcMar>
              <w:left w:w="108" w:type="dxa"/>
            </w:tcMar>
          </w:tcPr>
          <w:p>
            <w:pPr>
              <w:pStyle w:val="Normal"/>
              <w:spacing w:lineRule="auto" w:line="240" w:before="0" w:after="0"/>
              <w:rPr/>
            </w:pPr>
            <w:r>
              <w:rPr/>
            </w:r>
          </w:p>
        </w:tc>
        <w:tc>
          <w:tcPr>
            <w:tcW w:w="3402" w:type="dxa"/>
            <w:gridSpan w:val="2"/>
            <w:tcBorders/>
            <w:shd w:fill="auto" w:val="clear"/>
            <w:tcMar>
              <w:left w:w="108" w:type="dxa"/>
            </w:tcMar>
          </w:tcPr>
          <w:p>
            <w:pPr>
              <w:pStyle w:val="Normal"/>
              <w:spacing w:lineRule="auto" w:line="240" w:before="0" w:after="0"/>
              <w:rPr/>
            </w:pPr>
            <w:r>
              <w:rPr/>
            </w:r>
          </w:p>
        </w:tc>
        <w:tc>
          <w:tcPr>
            <w:tcW w:w="3258" w:type="dxa"/>
            <w:gridSpan w:val="2"/>
            <w:tcBorders/>
            <w:shd w:fill="auto" w:val="clear"/>
            <w:tcMar>
              <w:left w:w="108" w:type="dxa"/>
            </w:tcMar>
          </w:tcPr>
          <w:p>
            <w:pPr>
              <w:pStyle w:val="Normal"/>
              <w:spacing w:lineRule="auto" w:line="240" w:before="0" w:after="0"/>
              <w:rPr/>
            </w:pPr>
            <w:r>
              <w:rPr/>
            </w:r>
          </w:p>
        </w:tc>
      </w:tr>
    </w:tbl>
    <w:p>
      <w:pPr>
        <w:pStyle w:val="Normal"/>
        <w:rPr/>
      </w:pPr>
      <w:bookmarkStart w:id="0" w:name="_GoBack"/>
      <w:bookmarkStart w:id="1" w:name="_GoBack"/>
      <w:bookmarkEnd w:id="1"/>
      <w:r>
        <w:rPr/>
      </w:r>
    </w:p>
    <w:p>
      <w:pPr>
        <w:pStyle w:val="Normal"/>
        <w:rPr/>
      </w:pPr>
      <w:r>
        <w:rPr/>
      </w:r>
    </w:p>
    <w:p>
      <w:pPr>
        <w:pStyle w:val="Normal"/>
        <w:rPr/>
      </w:pPr>
      <w:r>
        <w:rPr/>
        <w:t>Zielsetzung des AÜG-Gesetztes</w:t>
      </w:r>
    </w:p>
    <w:p>
      <w:pPr>
        <w:pStyle w:val="Normal"/>
        <w:rPr/>
      </w:pPr>
      <w:r>
        <w:rPr/>
        <w:t>Beschäftigungspotenzial ausschöpfen</w:t>
      </w:r>
    </w:p>
    <w:p>
      <w:pPr>
        <w:pStyle w:val="Normal"/>
        <w:rPr/>
      </w:pPr>
      <w:r>
        <w:rPr/>
        <w:t>Mit der Reform wurde das AÜG Funktional und Strukturelle verändert.</w:t>
      </w:r>
    </w:p>
    <w:p>
      <w:pPr>
        <w:pStyle w:val="Normal"/>
        <w:rPr/>
      </w:pPr>
      <w:r>
        <w:rPr/>
        <w:t>Es regelt die Legale Arbeitnehmerüberlassung, und dient außerdem dazu illegale AMÜ zu bekämpfen. Der Erlaubnisvorbehalt soll dazu dienen vor unseriösen Zeitarbeitsfirmen zu schützen. Zuständig für die Erlaubnis ist die BA. Zunächst für die ersten 4 Jahre éine begrenzte Erlaubnis auspricht, die nach diese Wohlverhaltensphase, in eine zetlich unbefriste Erlaubnis mündet. Für die Kontrolle seit 2011 der Zoll. Zuvor war auch die BA mit der Kontrolle von Zeitarbeitsunternehmen vertraut.</w:t>
      </w:r>
    </w:p>
    <w:p>
      <w:pPr>
        <w:pStyle w:val="Normal"/>
        <w:rPr/>
      </w:pPr>
      <w:r>
        <w:rPr/>
      </w:r>
    </w:p>
    <w:p>
      <w:pPr>
        <w:pStyle w:val="Normal"/>
        <w:rPr/>
      </w:pPr>
      <w:r>
        <w:rPr/>
      </w:r>
    </w:p>
    <w:tbl>
      <w:tblPr>
        <w:tblStyle w:val="Tabellenraster"/>
        <w:tblW w:w="14276" w:type="dxa"/>
        <w:jc w:val="left"/>
        <w:tblInd w:w="0" w:type="dxa"/>
        <w:tblCellMar>
          <w:top w:w="0" w:type="dxa"/>
          <w:left w:w="108" w:type="dxa"/>
          <w:bottom w:w="0" w:type="dxa"/>
          <w:right w:w="108" w:type="dxa"/>
        </w:tblCellMar>
        <w:tblLook w:val="04a0" w:noVBand="1" w:noHBand="0" w:lastColumn="0" w:firstColumn="1" w:lastRow="0" w:firstRow="1"/>
      </w:tblPr>
      <w:tblGrid>
        <w:gridCol w:w="1680"/>
        <w:gridCol w:w="5458"/>
        <w:gridCol w:w="7138"/>
      </w:tblGrid>
      <w:tr>
        <w:trPr/>
        <w:tc>
          <w:tcPr>
            <w:tcW w:w="1680" w:type="dxa"/>
            <w:tcBorders/>
            <w:shd w:fill="auto" w:val="clear"/>
            <w:tcMar>
              <w:left w:w="108" w:type="dxa"/>
            </w:tcMar>
          </w:tcPr>
          <w:p>
            <w:pPr>
              <w:pStyle w:val="Normal"/>
              <w:spacing w:lineRule="auto" w:line="240" w:before="0" w:after="0"/>
              <w:rPr/>
            </w:pPr>
            <w:r>
              <w:rPr/>
              <w:t>Paragraph</w:t>
            </w:r>
          </w:p>
        </w:tc>
        <w:tc>
          <w:tcPr>
            <w:tcW w:w="5458" w:type="dxa"/>
            <w:tcBorders/>
            <w:shd w:fill="auto" w:val="clear"/>
            <w:tcMar>
              <w:left w:w="108" w:type="dxa"/>
            </w:tcMar>
          </w:tcPr>
          <w:p>
            <w:pPr>
              <w:pStyle w:val="Normal"/>
              <w:spacing w:lineRule="auto" w:line="240" w:before="0" w:after="0"/>
              <w:rPr/>
            </w:pPr>
            <w:r>
              <w:rPr/>
            </w:r>
          </w:p>
        </w:tc>
        <w:tc>
          <w:tcPr>
            <w:tcW w:w="7138" w:type="dxa"/>
            <w:tcBorders/>
            <w:shd w:fill="auto" w:val="clear"/>
            <w:tcMar>
              <w:left w:w="108" w:type="dxa"/>
            </w:tcMar>
          </w:tcPr>
          <w:p>
            <w:pPr>
              <w:pStyle w:val="Normal"/>
              <w:spacing w:lineRule="auto" w:line="240" w:before="0" w:after="0"/>
              <w:rPr/>
            </w:pPr>
            <w:r>
              <w:rPr/>
              <w:t>Folgen</w:t>
            </w:r>
          </w:p>
        </w:tc>
      </w:tr>
      <w:tr>
        <w:trPr/>
        <w:tc>
          <w:tcPr>
            <w:tcW w:w="1680" w:type="dxa"/>
            <w:tcBorders/>
            <w:shd w:fill="auto" w:val="clear"/>
            <w:tcMar>
              <w:left w:w="108" w:type="dxa"/>
            </w:tcMar>
          </w:tcPr>
          <w:p>
            <w:pPr>
              <w:pStyle w:val="Normal"/>
              <w:spacing w:lineRule="auto" w:line="240" w:before="0" w:after="0"/>
              <w:rPr/>
            </w:pPr>
            <w:r>
              <w:rPr/>
            </w:r>
          </w:p>
        </w:tc>
        <w:tc>
          <w:tcPr>
            <w:tcW w:w="5458" w:type="dxa"/>
            <w:tcBorders/>
            <w:shd w:fill="auto" w:val="clear"/>
            <w:tcMar>
              <w:left w:w="108" w:type="dxa"/>
            </w:tcMar>
          </w:tcPr>
          <w:p>
            <w:pPr>
              <w:pStyle w:val="Normal"/>
              <w:spacing w:lineRule="auto" w:line="240" w:before="0" w:after="0"/>
              <w:rPr/>
            </w:pPr>
            <w:r>
              <w:rPr/>
              <w:t>Aufhebung des Befristungsverbotes</w:t>
            </w:r>
          </w:p>
        </w:tc>
        <w:tc>
          <w:tcPr>
            <w:tcW w:w="7138" w:type="dxa"/>
            <w:tcBorders/>
            <w:shd w:fill="auto" w:val="clear"/>
            <w:tcMar>
              <w:left w:w="108" w:type="dxa"/>
            </w:tcMar>
          </w:tcPr>
          <w:p>
            <w:pPr>
              <w:pStyle w:val="Normal"/>
              <w:spacing w:lineRule="auto" w:line="240" w:before="0" w:after="0"/>
              <w:rPr/>
            </w:pPr>
            <w:r>
              <w:rPr/>
              <w:t>Die Aufhebung des Befristungsverbotes führt dazu, das die Leiharbeitgeber die Befristung eines Leiharbeitsverhältnisses wiederholen kann, ohne das ein sachlicher Grund in der Person des Leiharbeitnehmers ( z.b Überbrückung zwischen zwei Arbeitsstellen) vorliegt</w:t>
            </w:r>
          </w:p>
        </w:tc>
      </w:tr>
      <w:tr>
        <w:trPr/>
        <w:tc>
          <w:tcPr>
            <w:tcW w:w="1680" w:type="dxa"/>
            <w:tcBorders/>
            <w:shd w:fill="auto" w:val="clear"/>
            <w:tcMar>
              <w:left w:w="108" w:type="dxa"/>
            </w:tcMar>
          </w:tcPr>
          <w:p>
            <w:pPr>
              <w:pStyle w:val="Normal"/>
              <w:spacing w:lineRule="auto" w:line="240" w:before="0" w:after="0"/>
              <w:rPr/>
            </w:pPr>
            <w:r>
              <w:rPr/>
              <w:t>§ 3 Abs.1 Nr.4</w:t>
            </w:r>
          </w:p>
        </w:tc>
        <w:tc>
          <w:tcPr>
            <w:tcW w:w="5458" w:type="dxa"/>
            <w:tcBorders/>
            <w:shd w:fill="auto" w:val="clear"/>
            <w:tcMar>
              <w:left w:w="108" w:type="dxa"/>
            </w:tcMar>
          </w:tcPr>
          <w:p>
            <w:pPr>
              <w:pStyle w:val="Normal"/>
              <w:spacing w:lineRule="auto" w:line="240" w:before="0" w:after="0"/>
              <w:rPr/>
            </w:pPr>
            <w:r>
              <w:rPr/>
              <w:t xml:space="preserve">Wegfall Wiedereinstellungsverbotes </w:t>
            </w:r>
          </w:p>
        </w:tc>
        <w:tc>
          <w:tcPr>
            <w:tcW w:w="7138" w:type="dxa"/>
            <w:tcBorders/>
            <w:shd w:fill="auto" w:val="clear"/>
            <w:tcMar>
              <w:left w:w="108" w:type="dxa"/>
            </w:tcMar>
          </w:tcPr>
          <w:p>
            <w:pPr>
              <w:pStyle w:val="Normal"/>
              <w:spacing w:lineRule="auto" w:line="240" w:before="0" w:after="0"/>
              <w:rPr/>
            </w:pPr>
            <w:r>
              <w:rPr/>
              <w:t xml:space="preserve">Es ist ein wiederholte Einstellung des Leiharbeitgeber nach vorangeganger Kündigung möglich. Der Zweck dieser Regelung wird erst mit dem Befristungsverbot bedeutsam. </w:t>
            </w:r>
          </w:p>
        </w:tc>
      </w:tr>
      <w:tr>
        <w:trPr/>
        <w:tc>
          <w:tcPr>
            <w:tcW w:w="1680" w:type="dxa"/>
            <w:tcBorders/>
            <w:shd w:fill="auto" w:val="clear"/>
            <w:tcMar>
              <w:left w:w="108" w:type="dxa"/>
            </w:tcMar>
          </w:tcPr>
          <w:p>
            <w:pPr>
              <w:pStyle w:val="Normal"/>
              <w:spacing w:lineRule="auto" w:line="240" w:before="0" w:after="0"/>
              <w:rPr/>
            </w:pPr>
            <w:r>
              <w:rPr/>
              <w:t>§ 3 Abs. 1 Nr.5</w:t>
            </w:r>
          </w:p>
        </w:tc>
        <w:tc>
          <w:tcPr>
            <w:tcW w:w="5458" w:type="dxa"/>
            <w:tcBorders/>
            <w:shd w:fill="auto" w:val="clear"/>
            <w:tcMar>
              <w:left w:w="108" w:type="dxa"/>
            </w:tcMar>
          </w:tcPr>
          <w:p>
            <w:pPr>
              <w:pStyle w:val="Normal"/>
              <w:spacing w:lineRule="auto" w:line="240" w:before="0" w:after="0"/>
              <w:rPr/>
            </w:pPr>
            <w:r>
              <w:rPr/>
              <w:t xml:space="preserve">Aufhebung des Synchronisationsverbotes </w:t>
            </w:r>
          </w:p>
        </w:tc>
        <w:tc>
          <w:tcPr>
            <w:tcW w:w="7138" w:type="dxa"/>
            <w:tcBorders/>
            <w:shd w:fill="auto" w:val="clear"/>
            <w:tcMar>
              <w:left w:w="108" w:type="dxa"/>
            </w:tcMar>
          </w:tcPr>
          <w:p>
            <w:pPr>
              <w:pStyle w:val="Normal"/>
              <w:spacing w:lineRule="auto" w:line="240" w:before="0" w:after="0"/>
              <w:rPr/>
            </w:pPr>
            <w:r>
              <w:rPr/>
              <w:t xml:space="preserve">Ein Verleiher seine Arbeitnehmer für den Einsatz beim Entleiher befristen. Heißt der Arbeitsvertrag des Arbeitnehmers </w:t>
            </w:r>
          </w:p>
        </w:tc>
      </w:tr>
      <w:tr>
        <w:trPr/>
        <w:tc>
          <w:tcPr>
            <w:tcW w:w="1680" w:type="dxa"/>
            <w:tcBorders/>
            <w:shd w:fill="auto" w:val="clear"/>
            <w:tcMar>
              <w:left w:w="108" w:type="dxa"/>
            </w:tcMar>
          </w:tcPr>
          <w:p>
            <w:pPr>
              <w:pStyle w:val="Normal"/>
              <w:spacing w:lineRule="auto" w:line="240" w:before="0" w:after="0"/>
              <w:rPr/>
            </w:pPr>
            <w:r>
              <w:rPr/>
              <w:t>§ 3 Abs. 1 Nr. 6</w:t>
            </w:r>
          </w:p>
        </w:tc>
        <w:tc>
          <w:tcPr>
            <w:tcW w:w="5458" w:type="dxa"/>
            <w:tcBorders/>
            <w:shd w:fill="auto" w:val="clear"/>
            <w:tcMar>
              <w:left w:w="108" w:type="dxa"/>
            </w:tcMar>
          </w:tcPr>
          <w:p>
            <w:pPr>
              <w:pStyle w:val="Normal"/>
              <w:spacing w:lineRule="auto" w:line="240" w:before="0" w:after="0"/>
              <w:rPr/>
            </w:pPr>
            <w:r>
              <w:rPr/>
              <w:t>Wegfall der Höchstüberlassungsdauer</w:t>
            </w:r>
          </w:p>
        </w:tc>
        <w:tc>
          <w:tcPr>
            <w:tcW w:w="7138" w:type="dxa"/>
            <w:tcBorders/>
            <w:shd w:fill="auto" w:val="clear"/>
            <w:tcMar>
              <w:left w:w="108" w:type="dxa"/>
            </w:tcMar>
          </w:tcPr>
          <w:p>
            <w:pPr>
              <w:pStyle w:val="Normal"/>
              <w:spacing w:lineRule="auto" w:line="240" w:before="0" w:after="0"/>
              <w:rPr/>
            </w:pPr>
            <w:r>
              <w:rPr/>
              <w:t xml:space="preserve">Mit dem Wegfall der Höchstüberlassungsdauer, ist erlaubt AMÜ zeitlich unbegrenzt möglich. </w:t>
            </w:r>
          </w:p>
        </w:tc>
      </w:tr>
    </w:tbl>
    <w:p>
      <w:pPr>
        <w:pStyle w:val="Normal"/>
        <w:rPr/>
      </w:pPr>
      <w:r>
        <w:rPr/>
      </w:r>
    </w:p>
    <w:p>
      <w:pPr>
        <w:pStyle w:val="Normal"/>
        <w:rPr/>
      </w:pPr>
      <w:r>
        <w:rPr/>
      </w:r>
    </w:p>
    <w:p>
      <w:pPr>
        <w:pStyle w:val="Normal"/>
        <w:rPr/>
      </w:pPr>
      <w:r>
        <w:rPr/>
        <w:t xml:space="preserve">Ich benötige Gerichtsurteile die regulative des AÜG regeln. </w:t>
      </w:r>
    </w:p>
    <w:p>
      <w:pPr>
        <w:pStyle w:val="Normal"/>
        <w:rPr/>
      </w:pPr>
      <w:r>
        <w:rPr/>
        <w:t>Am besten solche die die Politik beauftragen tätig zu werden.</w:t>
      </w:r>
    </w:p>
    <w:p>
      <w:pPr>
        <w:pStyle w:val="Normal"/>
        <w:rPr/>
      </w:pPr>
      <w:r>
        <w:rPr/>
        <w:t>Erklärungen</w:t>
      </w:r>
    </w:p>
    <w:p>
      <w:pPr>
        <w:pStyle w:val="Normal"/>
        <w:rPr>
          <w:sz w:val="24"/>
        </w:rPr>
      </w:pPr>
      <w:r>
        <w:rPr>
          <w:sz w:val="24"/>
          <w:vertAlign w:val="superscript"/>
        </w:rPr>
        <w:t xml:space="preserve">1 </w:t>
      </w:r>
      <w:r>
        <w:rPr>
          <w:sz w:val="24"/>
        </w:rPr>
        <w:t>Schlecker nutzte die Gestaltungsmöglichkeiten des AÜG.</w:t>
      </w:r>
    </w:p>
    <w:p>
      <w:pPr>
        <w:pStyle w:val="Normal"/>
        <w:rPr>
          <w:sz w:val="24"/>
        </w:rPr>
      </w:pPr>
      <w:r>
        <w:rPr>
          <w:sz w:val="24"/>
        </w:rPr>
        <w:t xml:space="preserve">Die mittlerweile insolvente Drogiekette des Kaufman Anton Schlecker kündigte im großen Stiel Beschäftigte um sie anschließend auf den gleichen Arbeitsplätzen als Leiharbeiter zu Konditionen des Leiharbeitsvertrages wieder zu beschäftigen. Dies Löste einen großen Aufschrei aus. Und fand Eingang in die Literatur unter dem Begriff Drehtüreffekt. </w:t>
      </w:r>
    </w:p>
    <w:p>
      <w:pPr>
        <w:pStyle w:val="Normal"/>
        <w:rPr>
          <w:rFonts w:ascii="Calibri Light" w:hAnsi="Calibri Light" w:asciiTheme="majorHAnsi" w:hAnsiTheme="majorHAnsi"/>
          <w:sz w:val="24"/>
          <w:szCs w:val="24"/>
          <w:vertAlign w:val="subscript"/>
        </w:rPr>
      </w:pPr>
      <w:r>
        <w:rPr>
          <w:rFonts w:ascii="Calibri Light" w:hAnsi="Calibri Light" w:asciiTheme="majorHAnsi" w:hAnsiTheme="majorHAnsi"/>
          <w:sz w:val="24"/>
          <w:szCs w:val="24"/>
          <w:vertAlign w:val="superscript"/>
        </w:rPr>
        <w:t xml:space="preserve">2 Wahltermin? </w:t>
      </w:r>
      <w:r>
        <w:rPr>
          <w:rFonts w:ascii="Calibri Light" w:hAnsi="Calibri Light" w:asciiTheme="majorHAnsi" w:hAnsiTheme="majorHAnsi"/>
          <w:sz w:val="24"/>
          <w:szCs w:val="24"/>
          <w:vertAlign w:val="subscript"/>
        </w:rPr>
        <w:t xml:space="preserve">Warum liegt die Diskusion am Ende bzw am Anfang der Leglislatur, Vertrauensvotum von Schröder </w:t>
      </w:r>
    </w:p>
    <w:p>
      <w:pPr>
        <w:pStyle w:val="Normal"/>
        <w:rPr/>
      </w:pPr>
      <w:r>
        <w:rPr>
          <w:vertAlign w:val="superscript"/>
        </w:rPr>
        <w:t xml:space="preserve">3 </w:t>
      </w:r>
      <w:r>
        <w:rPr>
          <w:strike/>
          <w:vertAlign w:val="subscript"/>
        </w:rPr>
        <w:t xml:space="preserve"> </w:t>
      </w:r>
      <w:r>
        <w:rPr/>
        <w:t xml:space="preserve">These: Leiharbeit nach AÜG wird im wesentlich gestalt durch höchrichterliche Gerichtsentscheidungen. </w:t>
      </w:r>
    </w:p>
    <w:p>
      <w:pPr>
        <w:pStyle w:val="Normal"/>
        <w:rPr>
          <w:b/>
          <w:b/>
        </w:rPr>
      </w:pPr>
      <w:r>
        <w:rPr>
          <w:b/>
        </w:rPr>
        <w:t xml:space="preserve">Arbeitsauftrag: </w:t>
      </w:r>
    </w:p>
    <w:p>
      <w:pPr>
        <w:pStyle w:val="ListParagraph"/>
        <w:numPr>
          <w:ilvl w:val="0"/>
          <w:numId w:val="1"/>
        </w:numPr>
        <w:rPr/>
      </w:pPr>
      <w:r>
        <w:rPr/>
        <w:t xml:space="preserve">Zentrale Urteile/ insbesonder jene die der Politik eine Nachregelung des Gesetzes zuweisen. </w:t>
      </w:r>
    </w:p>
    <w:p>
      <w:pPr>
        <w:pStyle w:val="ListParagraph"/>
        <w:numPr>
          <w:ilvl w:val="0"/>
          <w:numId w:val="1"/>
        </w:numPr>
        <w:rPr/>
      </w:pPr>
      <w:r>
        <w:rPr/>
        <w:t xml:space="preserve">Gibt es dazu eine Übersicht. Wo und Wie kann ich diese finden? </w:t>
      </w:r>
    </w:p>
    <w:p>
      <w:pPr>
        <w:pStyle w:val="Normal"/>
        <w:rPr/>
      </w:pPr>
      <w:r>
        <w:rPr/>
      </w:r>
    </w:p>
    <w:p>
      <w:pPr>
        <w:pStyle w:val="Normal"/>
        <w:rPr/>
      </w:pPr>
      <w:r>
        <w:rPr/>
        <w:t>Parteidifferenzthese.</w:t>
      </w:r>
    </w:p>
    <w:p>
      <w:pPr>
        <w:pStyle w:val="Normal"/>
        <w:rPr/>
      </w:pPr>
      <w:r>
        <w:rPr/>
        <w:t>Gibt es einen Einfluß der Politik auf die Gesetzgebung.</w:t>
      </w:r>
    </w:p>
    <w:p>
      <w:pPr>
        <w:pStyle w:val="Normal"/>
        <w:rPr/>
      </w:pPr>
      <w:r>
        <w:rPr/>
      </w:r>
    </w:p>
    <w:p>
      <w:pPr>
        <w:pStyle w:val="Normal"/>
        <w:rPr/>
      </w:pPr>
      <w:r>
        <w:rPr/>
        <w:t>Leitbild der Leiharbeit</w:t>
      </w:r>
    </w:p>
    <w:p>
      <w:pPr>
        <w:pStyle w:val="Normal"/>
        <w:rPr/>
      </w:pPr>
      <w:r>
        <w:rPr/>
        <w:t>Aufwertung der Leiharbeit als arbeitsmarktpolitisches Instrument.</w:t>
      </w:r>
    </w:p>
    <w:p>
      <w:pPr>
        <w:pStyle w:val="Normal"/>
        <w:rPr/>
      </w:pPr>
      <w:r>
        <w:rPr/>
        <w:t>Über den Funktionszusammenhang gibt es unterschiedliche Leitbilder</w:t>
      </w:r>
    </w:p>
    <w:p>
      <w:pPr>
        <w:pStyle w:val="Normal"/>
        <w:rPr/>
      </w:pPr>
      <w:r>
        <w:rPr/>
        <w:t>Zeitarbeit als Überbrückung der Arbeitslosigkeit. (Ökomisches Argument: Dequalifikationserscheinungen der Arbeitslosigkeit können vermieden werden.)</w:t>
      </w:r>
    </w:p>
    <w:p>
      <w:pPr>
        <w:pStyle w:val="Normal"/>
        <w:rPr/>
      </w:pPr>
      <w:r>
        <w:rPr/>
        <w:t>Zeitarbeit als Wiedereinstieg nach einer Periode der Marktferne</w:t>
      </w:r>
    </w:p>
    <w:p>
      <w:pPr>
        <w:pStyle w:val="Normal"/>
        <w:rPr/>
      </w:pPr>
      <w:r>
        <w:rPr/>
        <w:t>Zeitarbeit als Personalrekrutierung. ( Argument: Unternehmen können Einsparen die Kosten für Personalrekrutierung. Im Überlassungszeitraum unverbindlich testen und erproben.</w:t>
      </w:r>
    </w:p>
    <w:p>
      <w:pPr>
        <w:pStyle w:val="Normal"/>
        <w:rPr/>
      </w:pPr>
      <w:r>
        <w:rPr/>
      </w:r>
    </w:p>
    <w:p>
      <w:pPr>
        <w:pStyle w:val="Normal"/>
        <w:rPr/>
      </w:pPr>
      <w:r>
        <w:rPr/>
        <w:t>Struktur der Leiharbeitsunternehmen</w:t>
      </w:r>
    </w:p>
    <w:p>
      <w:pPr>
        <w:pStyle w:val="Normal"/>
        <w:rPr/>
      </w:pPr>
      <w:r>
        <w:rPr/>
        <w:t xml:space="preserve">Kleinere Zeitarbeitsunternehem spezialiserien sich häufig auf ein Branche </w:t>
      </w:r>
    </w:p>
    <w:p>
      <w:pPr>
        <w:pStyle w:val="Normal"/>
        <w:rPr/>
      </w:pPr>
      <w:r>
        <w:rPr/>
      </w:r>
    </w:p>
    <w:p>
      <w:pPr>
        <w:pStyle w:val="Normal"/>
        <w:rPr/>
      </w:pPr>
      <w:r>
        <w:rPr/>
      </w:r>
    </w:p>
    <w:p>
      <w:pPr>
        <w:pStyle w:val="Normal"/>
        <w:rPr/>
      </w:pPr>
      <w:r>
        <w:rPr/>
        <w:t xml:space="preserve">Endbericht, IAB Forschungsinstitiute </w:t>
      </w:r>
    </w:p>
    <w:p>
      <w:pPr>
        <w:pStyle w:val="Normal"/>
        <w:rPr/>
      </w:pPr>
      <w:r>
        <w:rPr/>
        <w:t>Grundlage für den Bericht ist das AÜG. Diese Dokumentation geht zurück auf.</w:t>
      </w:r>
    </w:p>
    <w:p>
      <w:pPr>
        <w:pStyle w:val="Normal"/>
        <w:rPr/>
      </w:pPr>
      <w:r>
        <w:rPr/>
        <w:t>Zuständige für die Dokumentation ist Wer ist Zuständig.</w:t>
      </w:r>
    </w:p>
    <w:p>
      <w:pPr>
        <w:pStyle w:val="Normal"/>
        <w:rPr/>
      </w:pPr>
      <w:r>
        <w:rPr/>
        <w:t>Gemäß Beschluß vom 12.11 1981, 15 Nov 2002, Druchsache 9/975 15/98 15/1728</w:t>
      </w:r>
    </w:p>
    <w:p>
      <w:pPr>
        <w:pStyle w:val="Normal"/>
        <w:rPr/>
      </w:pPr>
      <w:r>
        <w:rPr/>
        <w:t></w:t>
      </w:r>
    </w:p>
    <w:p>
      <w:pPr>
        <w:pStyle w:val="Normal"/>
        <w:rPr/>
      </w:pPr>
      <w:r>
        <w:rPr/>
        <w:t></w:t>
      </w:r>
    </w:p>
    <w:p>
      <w:pPr>
        <w:pStyle w:val="Normal"/>
        <w:rPr/>
      </w:pPr>
      <w:r>
        <w:rPr/>
        <w:t>Ergebnis der Evaluation der Umsetzung der Vorschläge der Kommission für morder Dienstleistung am Arbeitsmarkt</w:t>
      </w:r>
    </w:p>
    <w:p>
      <w:pPr>
        <w:pStyle w:val="Normal"/>
        <w:rPr/>
      </w:pPr>
      <w:r>
        <w:rPr/>
        <w:t>#</w:t>
      </w:r>
    </w:p>
    <w:p>
      <w:pPr>
        <w:pStyle w:val="Normal"/>
        <w:rPr/>
      </w:pPr>
      <w:r>
        <w:rPr/>
        <w:t xml:space="preserve">Leiharbeit </w:t>
      </w:r>
    </w:p>
    <w:p>
      <w:pPr>
        <w:pStyle w:val="Normal"/>
        <w:rPr/>
      </w:pPr>
      <w:r>
        <w:rPr/>
        <w:t xml:space="preserve">Arbeitsmarktpolitische Aufwertung. </w:t>
      </w:r>
    </w:p>
    <w:p>
      <w:pPr>
        <w:pStyle w:val="Normal"/>
        <w:rPr/>
      </w:pPr>
      <w:r>
        <w:rPr/>
      </w:r>
    </w:p>
    <w:p>
      <w:pPr>
        <w:pStyle w:val="Normal"/>
        <w:rPr>
          <w:b/>
          <w:b/>
        </w:rPr>
      </w:pPr>
      <w:r>
        <w:rPr>
          <w:b/>
        </w:rPr>
        <w:t>Daten, Materialen, für die Analyse und Auswertung</w:t>
      </w:r>
    </w:p>
    <w:p>
      <w:pPr>
        <w:pStyle w:val="Normal"/>
        <w:rPr/>
      </w:pPr>
      <w:r>
        <w:rPr/>
        <w:t>Der AÜG Bericht#</w:t>
      </w:r>
    </w:p>
    <w:p>
      <w:pPr>
        <w:pStyle w:val="Normal"/>
        <w:rPr/>
      </w:pPr>
      <w:r>
        <w:rPr/>
        <w:t>Ist im Sinne der Parteidifferenzthese nicht verwendtbar. Weil Parteipolitische Polarität nicht angezeigt wird.</w:t>
      </w:r>
    </w:p>
    <w:p>
      <w:pPr>
        <w:pStyle w:val="Normal"/>
        <w:rPr/>
      </w:pPr>
      <w:r>
        <w:rPr/>
        <w:t xml:space="preserve">Es steht zu Erwarten, das die Ergebnise des Berichtes aber Bestandteil der Bundestagsdebatte sind. </w:t>
      </w:r>
    </w:p>
    <w:p>
      <w:pPr>
        <w:pStyle w:val="Normal"/>
        <w:rPr/>
      </w:pPr>
      <w:r>
        <w:rPr/>
        <w:t>Wie ist diese Auszuwerten? Wie zu operationalisieren? Welche Aussagen lassen sich finden.</w:t>
      </w:r>
    </w:p>
    <w:p>
      <w:pPr>
        <w:pStyle w:val="Normal"/>
        <w:rPr/>
      </w:pPr>
      <w:r>
        <w:rPr/>
        <w:t>Vorlage der Berichte</w:t>
      </w:r>
    </w:p>
    <w:p>
      <w:pPr>
        <w:pStyle w:val="Normal"/>
        <w:rPr/>
      </w:pPr>
      <w:r>
        <w:rPr/>
        <w:t>Was ist das politische Ziel.</w:t>
      </w:r>
    </w:p>
    <w:p>
      <w:pPr>
        <w:pStyle w:val="Normal"/>
        <w:rPr/>
      </w:pPr>
      <w:r>
        <w:rPr/>
      </w:r>
    </w:p>
    <w:p>
      <w:pPr>
        <w:pStyle w:val="Normal"/>
        <w:rPr/>
      </w:pPr>
      <w:r>
        <w:rPr/>
      </w:r>
    </w:p>
    <w:p>
      <w:pPr>
        <w:pStyle w:val="Normal"/>
        <w:rPr/>
      </w:pPr>
      <w:r>
        <w:rPr/>
        <w:t>„</w:t>
      </w:r>
      <w:r>
        <w:rPr/>
        <w:t>Nachhängende Dokumentation“</w:t>
      </w:r>
    </w:p>
    <w:p>
      <w:pPr>
        <w:pStyle w:val="Normal"/>
        <w:rPr/>
      </w:pPr>
      <w:r>
        <w:rPr/>
        <w:t>Warum die Aktutalität,</w:t>
      </w:r>
    </w:p>
    <w:p>
      <w:pPr>
        <w:pStyle w:val="Normal"/>
        <w:rPr/>
      </w:pPr>
      <w:r>
        <w:rPr/>
        <w:t xml:space="preserve">Zur Wahrnehmung von Mustern, sicher wichtig. </w:t>
      </w:r>
    </w:p>
    <w:p>
      <w:pPr>
        <w:pStyle w:val="Normal"/>
        <w:rPr/>
      </w:pPr>
      <w:r>
        <w:rPr/>
      </w:r>
    </w:p>
    <w:p>
      <w:pPr>
        <w:pStyle w:val="Normal"/>
        <w:rPr/>
      </w:pPr>
      <w:r>
        <w:rPr/>
        <w:t xml:space="preserve">Richtlinie </w:t>
      </w:r>
    </w:p>
    <w:p>
      <w:pPr>
        <w:pStyle w:val="Normal"/>
        <w:rPr/>
      </w:pPr>
      <w:r>
        <w:rPr/>
        <w:t>Europarechtliche Richtlinie.</w:t>
      </w:r>
    </w:p>
    <w:p>
      <w:pPr>
        <w:pStyle w:val="Normal"/>
        <w:rPr/>
      </w:pPr>
      <w:r>
        <w:rPr/>
        <w:t xml:space="preserve">Einfluß: </w:t>
      </w:r>
    </w:p>
    <w:p>
      <w:pPr>
        <w:pStyle w:val="Normal"/>
        <w:rPr/>
      </w:pPr>
      <w:r>
        <w:rPr/>
        <w:t xml:space="preserve">12 AÜG kommentiert selbst, das der Einfluß der Richtline gering ist. </w:t>
      </w:r>
    </w:p>
    <w:p>
      <w:pPr>
        <w:pStyle w:val="Normal"/>
        <w:rPr/>
      </w:pPr>
      <w:r>
        <w:rPr/>
        <w:t>Deshalb kann die Betrachtung deshalb außen vor bleiben?</w:t>
      </w:r>
    </w:p>
    <w:p>
      <w:pPr>
        <w:pStyle w:val="Normal"/>
        <w:rPr/>
      </w:pPr>
      <w:r>
        <w:rPr/>
      </w:r>
    </w:p>
    <w:sectPr>
      <w:type w:val="nextPage"/>
      <w:pgSz w:orient="landscape" w:w="16838" w:h="11906"/>
      <w:pgMar w:left="1134"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Segoe UI">
    <w:charset w:val="01"/>
    <w:family w:val="roman"/>
    <w:pitch w:val="default"/>
  </w:font>
  <w:font w:name="Cantarell">
    <w:charset w:val="01"/>
    <w:family w:val="auto"/>
    <w:pitch w:val="default"/>
  </w:font>
  <w:font w:name="DejaVu Serif">
    <w:charset w:val="01"/>
    <w:family w:val="roman"/>
    <w:pitch w:val="default"/>
  </w:font>
  <w:font w:name="Calibri Light">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ef4a0a"/>
    <w:rPr>
      <w:rFonts w:ascii="Segoe UI" w:hAnsi="Segoe UI" w:cs="Segoe UI"/>
      <w:sz w:val="18"/>
      <w:szCs w:val="18"/>
    </w:rPr>
  </w:style>
  <w:style w:type="character" w:styleId="ListLabel1">
    <w:name w:val="ListLabel 1"/>
    <w:qFormat/>
    <w:rPr>
      <w:rFonts w:cs="Courier New"/>
    </w:rPr>
  </w:style>
  <w:style w:type="paragraph" w:styleId="Berschrift">
    <w:name w:val="Überschrift"/>
    <w:basedOn w:val="Normal"/>
    <w:next w:val="Textkrper"/>
    <w:qFormat/>
    <w:pPr>
      <w:keepNext/>
      <w:spacing w:before="240" w:after="120"/>
    </w:pPr>
    <w:rPr>
      <w:rFonts w:ascii="Cantarell" w:hAnsi="Cantarell" w:eastAsia="AR PL SungtiL GB" w:cs="Lohit Marath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DejaVu Serif" w:hAnsi="DejaVu Serif" w:cs="Lohit Marathi"/>
    </w:rPr>
  </w:style>
  <w:style w:type="paragraph" w:styleId="Beschriftung">
    <w:name w:val="Beschriftung"/>
    <w:basedOn w:val="Normal"/>
    <w:pPr>
      <w:suppressLineNumbers/>
      <w:spacing w:before="120" w:after="120"/>
    </w:pPr>
    <w:rPr>
      <w:rFonts w:ascii="DejaVu Serif" w:hAnsi="DejaVu Serif" w:cs="Lohit Marathi"/>
      <w:i/>
      <w:iCs/>
      <w:sz w:val="24"/>
      <w:szCs w:val="24"/>
    </w:rPr>
  </w:style>
  <w:style w:type="paragraph" w:styleId="Verzeichnis">
    <w:name w:val="Verzeichnis"/>
    <w:basedOn w:val="Normal"/>
    <w:qFormat/>
    <w:pPr>
      <w:suppressLineNumbers/>
    </w:pPr>
    <w:rPr>
      <w:rFonts w:ascii="DejaVu Serif" w:hAnsi="DejaVu Serif" w:cs="Lohit Marathi"/>
    </w:rPr>
  </w:style>
  <w:style w:type="paragraph" w:styleId="BalloonText">
    <w:name w:val="Balloon Text"/>
    <w:basedOn w:val="Normal"/>
    <w:link w:val="SprechblasentextZchn"/>
    <w:uiPriority w:val="99"/>
    <w:semiHidden/>
    <w:unhideWhenUsed/>
    <w:qFormat/>
    <w:rsid w:val="00ef4a0a"/>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c2c1c"/>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ef4a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E0B92-B7BE-4396-AD7D-78BEFDCF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LibreOffice/4.4.1.2$Linux_X86_64 LibreOffice_project/40m0$Build-2</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2015-04-10T14:20:00Z</dcterms:created>
  <dc:creator>martin weuffen</dc:creator>
  <dc:language>de-DE</dc:language>
  <cp:lastModifiedBy>martin weuffen</cp:lastModifiedBy>
  <dcterms:modified xsi:type="dcterms:W3CDTF">2015-04-29T10:02:00Z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