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B1" w:rsidRDefault="00E92EB1">
      <w:r>
        <w:t xml:space="preserve">Untypisch für eine politkwissenschaftliche Arbeit ist, die individuelle Sitaution von Betroffen zu beschreiben und zu erfassen. </w:t>
      </w:r>
      <w:r w:rsidR="006B52BA">
        <w:t xml:space="preserve">Gleichwohl soll hier von dieser Regel abgewischen werden, weil ansonsten die Relevanz des Themas, und der normativ gegebene politiche Handlungsbedarf nicht erfaßt wird. </w:t>
      </w:r>
    </w:p>
    <w:p w:rsidR="00E92EB1" w:rsidRDefault="00E92EB1"/>
    <w:p w:rsidR="003D019F" w:rsidRDefault="002337A6">
      <w:r>
        <w:t xml:space="preserve">Die Gewerkschaften lehnten jewede Form der gewerbsmäßigen Arbeitübernlassung </w:t>
      </w:r>
      <w:r w:rsidR="00C1510B">
        <w:t>ab.</w:t>
      </w:r>
    </w:p>
    <w:p w:rsidR="00C1510B" w:rsidRDefault="00C1510B">
      <w:r>
        <w:t>Sie fordeten ein gesetzliches Verbot der Leiharbeit, das jedoch durchgehend nur sektotal im Bereich der Bauwirtschaft besteht.</w:t>
      </w:r>
    </w:p>
    <w:p w:rsidR="003A6E1C" w:rsidRDefault="00F7479D" w:rsidP="001F75BA">
      <w:pPr>
        <w:pStyle w:val="Listenabsatz"/>
        <w:numPr>
          <w:ilvl w:val="0"/>
          <w:numId w:val="1"/>
        </w:numPr>
      </w:pPr>
      <w:r>
        <w:t xml:space="preserve">Historische Entwickung </w:t>
      </w:r>
      <w:r w:rsidR="00A73114">
        <w:t>der Arbeitnehmerüberlassung.</w:t>
      </w:r>
    </w:p>
    <w:p w:rsidR="00240386" w:rsidRDefault="00E31DB3" w:rsidP="001F75BA">
      <w:r>
        <w:t>In der Deutschland bestand bis zum Urteilt des Bundesverfassungsgerichts</w:t>
      </w:r>
      <w:r w:rsidR="00694C59">
        <w:rPr>
          <w:rStyle w:val="Funotenzeichen"/>
        </w:rPr>
        <w:footnoteReference w:id="1"/>
      </w:r>
      <w:r>
        <w:t xml:space="preserve"> </w:t>
      </w:r>
      <w:r w:rsidR="00180DE7">
        <w:t xml:space="preserve">vom 4.4 </w:t>
      </w:r>
      <w:r>
        <w:t>1967 ein gesetzliches Verbot der gewerbsmäßigen Leiharbeit.</w:t>
      </w:r>
      <w:r w:rsidR="00180DE7">
        <w:t xml:space="preserve"> </w:t>
      </w:r>
      <w:r w:rsidR="000D6319">
        <w:t>Zu</w:t>
      </w:r>
      <w:r w:rsidR="00370399">
        <w:t>r</w:t>
      </w:r>
      <w:r w:rsidR="000D6319">
        <w:t xml:space="preserve"> Klage kam es, weil die</w:t>
      </w:r>
      <w:r w:rsidR="00DB58F2">
        <w:t xml:space="preserve"> in Deuschland tätige</w:t>
      </w:r>
      <w:r w:rsidR="000D6319">
        <w:t xml:space="preserve"> niederländische</w:t>
      </w:r>
      <w:r w:rsidR="00DB58F2">
        <w:t xml:space="preserve"> Leiharbeitsfirma Adia-Intermin, welche Hausfrauen für </w:t>
      </w:r>
      <w:r w:rsidR="000D6319">
        <w:t xml:space="preserve">stundenweise </w:t>
      </w:r>
      <w:r w:rsidR="00DB58F2">
        <w:t xml:space="preserve">Bürotätigkeiten </w:t>
      </w:r>
      <w:r w:rsidR="0079458B">
        <w:t xml:space="preserve">in Hamburg </w:t>
      </w:r>
      <w:r w:rsidR="00DB58F2">
        <w:t xml:space="preserve">vermittelte, </w:t>
      </w:r>
      <w:r w:rsidR="00AC2808">
        <w:t>gegen den</w:t>
      </w:r>
      <w:r w:rsidR="00DB58F2">
        <w:t xml:space="preserve"> Sozialversicherungsträger </w:t>
      </w:r>
      <w:r w:rsidR="00AC2808">
        <w:t xml:space="preserve">klagte, der </w:t>
      </w:r>
      <w:r w:rsidR="0079458B">
        <w:t>die Tätigkeit untersagt</w:t>
      </w:r>
      <w:r w:rsidR="00AC2808">
        <w:t>e</w:t>
      </w:r>
      <w:r w:rsidR="004B2BB1">
        <w:t>.</w:t>
      </w:r>
    </w:p>
    <w:p w:rsidR="002F6A88" w:rsidRDefault="004F7970" w:rsidP="000B3C5A">
      <w:r>
        <w:t>Mit dem</w:t>
      </w:r>
      <w:r w:rsidR="0027315C">
        <w:t xml:space="preserve"> Urteil stellt</w:t>
      </w:r>
      <w:r w:rsidR="00AC2808">
        <w:t xml:space="preserve"> </w:t>
      </w:r>
      <w:r w:rsidR="0027315C">
        <w:t>d</w:t>
      </w:r>
      <w:r w:rsidR="00AC2808">
        <w:t xml:space="preserve">as </w:t>
      </w:r>
      <w:r w:rsidR="0027315C">
        <w:t xml:space="preserve">Bundesverfassungsgericht fest, </w:t>
      </w:r>
      <w:r w:rsidR="00240386">
        <w:t>das das gesetztliche Verbot der gewerbsmäßigen Leiharbeit, gegen das Verbot der Berufsfreiheit</w:t>
      </w:r>
      <w:r w:rsidR="000D6319">
        <w:t xml:space="preserve"> (</w:t>
      </w:r>
      <w:r w:rsidR="00AC2808">
        <w:t>Art. 12. Abs.1 GG)</w:t>
      </w:r>
      <w:r w:rsidR="00240386">
        <w:t xml:space="preserve"> verstieß</w:t>
      </w:r>
      <w:r w:rsidR="001226FC">
        <w:t>, und zuzulassen sei.</w:t>
      </w:r>
      <w:r w:rsidR="002D4EC3">
        <w:t xml:space="preserve"> Diese Feststellung </w:t>
      </w:r>
      <w:r>
        <w:t>führte zu einen</w:t>
      </w:r>
      <w:r w:rsidR="00A702B0">
        <w:t xml:space="preserve"> </w:t>
      </w:r>
      <w:r>
        <w:t>zweiten</w:t>
      </w:r>
      <w:r w:rsidR="00A702B0">
        <w:t xml:space="preserve"> Urteil</w:t>
      </w:r>
      <w:r w:rsidR="000B3C5A">
        <w:rPr>
          <w:rStyle w:val="Funotenzeichen"/>
        </w:rPr>
        <w:footnoteReference w:id="2"/>
      </w:r>
      <w:r w:rsidR="003E0EC4">
        <w:t xml:space="preserve">, das </w:t>
      </w:r>
      <w:r>
        <w:t xml:space="preserve">zeitgleich aber </w:t>
      </w:r>
      <w:r w:rsidR="003E0EC4">
        <w:t>geson</w:t>
      </w:r>
      <w:r w:rsidR="002F6A88">
        <w:t>d</w:t>
      </w:r>
      <w:r w:rsidR="003E0EC4">
        <w:t>ert bekannt geben wurde</w:t>
      </w:r>
      <w:r>
        <w:t xml:space="preserve">. </w:t>
      </w:r>
      <w:r w:rsidR="004B2BB1">
        <w:t xml:space="preserve">Es bestättige das </w:t>
      </w:r>
      <w:r w:rsidR="002F6A88">
        <w:t xml:space="preserve">Arbeitsvermittlungsmonopol </w:t>
      </w:r>
      <w:r w:rsidR="004B2BB1">
        <w:t xml:space="preserve">Bundesarbeitsagentur für </w:t>
      </w:r>
      <w:r w:rsidR="00CF2600">
        <w:t xml:space="preserve">verfassungsgemäß sei und weiterhin beim Staat, in der Ausführung beim </w:t>
      </w:r>
      <w:r w:rsidR="00E440DF">
        <w:t>lieg</w:t>
      </w:r>
      <w:r w:rsidR="0092294C">
        <w:t>e</w:t>
      </w:r>
    </w:p>
    <w:p w:rsidR="002E3C53" w:rsidRDefault="00E440DF" w:rsidP="000B3C5A">
      <w:r>
        <w:t xml:space="preserve">Das Problem welches durch die Zulassung der Arbeitnehmerüberlassung angestossen wurde, </w:t>
      </w:r>
      <w:r w:rsidR="003E6F4A">
        <w:t xml:space="preserve">war die Festlegung der Grenze zwischen </w:t>
      </w:r>
      <w:r>
        <w:t>Arbeitsvermittlung und Arbeitnehmerüberlassung</w:t>
      </w:r>
      <w:r w:rsidR="002E562B">
        <w:t xml:space="preserve">, da der </w:t>
      </w:r>
      <w:r w:rsidR="00261F95">
        <w:t xml:space="preserve">Tätigkeit </w:t>
      </w:r>
      <w:r w:rsidR="002E562B">
        <w:t xml:space="preserve">Arbeitnehmerüberlassung </w:t>
      </w:r>
      <w:r w:rsidR="0043519D">
        <w:t xml:space="preserve">die Tätigkeit der Arbeitsvermittlung inne liegt. </w:t>
      </w:r>
      <w:r w:rsidR="00C53DD8">
        <w:t>Das</w:t>
      </w:r>
      <w:r w:rsidR="0043519D">
        <w:t xml:space="preserve"> </w:t>
      </w:r>
      <w:r w:rsidR="0092294C">
        <w:t xml:space="preserve"> </w:t>
      </w:r>
      <w:r w:rsidR="00961CFB">
        <w:t xml:space="preserve">BundesVerfassungsgericht </w:t>
      </w:r>
      <w:r w:rsidR="00C53DD8">
        <w:t xml:space="preserve">erkannt </w:t>
      </w:r>
      <w:r w:rsidR="0092294C">
        <w:t>das die Grenzen zwischen beiden Tätigkeiten fließend und</w:t>
      </w:r>
      <w:r w:rsidR="00506565">
        <w:t xml:space="preserve"> </w:t>
      </w:r>
      <w:r w:rsidR="0043519D">
        <w:t xml:space="preserve">sah die Gefahr der </w:t>
      </w:r>
      <w:r w:rsidR="00370399">
        <w:t>Anfällig für den Mißbrauch</w:t>
      </w:r>
      <w:r w:rsidR="0082222C">
        <w:t xml:space="preserve">, durch Umgehung des Kündigungsschutzes, der tariflichen Vergütung und oder Urlaubsansprüchen. </w:t>
      </w:r>
    </w:p>
    <w:p w:rsidR="00FD59F0" w:rsidRDefault="002E3C53" w:rsidP="000B3C5A">
      <w:r>
        <w:t xml:space="preserve">Juristisch wurden die Abgrenzungskriterien zwischen zulässiger </w:t>
      </w:r>
      <w:r w:rsidR="00780FEB">
        <w:t xml:space="preserve">Arbeitnehmerüberlassung </w:t>
      </w:r>
      <w:r>
        <w:t xml:space="preserve">und unzulässiger </w:t>
      </w:r>
      <w:r w:rsidR="00C53DD8">
        <w:t xml:space="preserve">Arbeitsvermittlung </w:t>
      </w:r>
      <w:r>
        <w:t>j</w:t>
      </w:r>
      <w:r w:rsidR="00961CFB">
        <w:t xml:space="preserve">edoch erst mit </w:t>
      </w:r>
      <w:r>
        <w:t>der Entscheidung des</w:t>
      </w:r>
      <w:r w:rsidR="00961CFB">
        <w:t xml:space="preserve"> BSG </w:t>
      </w:r>
      <w:r w:rsidR="002E562B">
        <w:t xml:space="preserve">vom 29.07 1970 </w:t>
      </w:r>
      <w:r>
        <w:t>bestimmt</w:t>
      </w:r>
      <w:r w:rsidR="00FF62B5">
        <w:t>. Danach g</w:t>
      </w:r>
      <w:r w:rsidR="00A640E9">
        <w:t>i</w:t>
      </w:r>
      <w:r w:rsidR="00FF62B5">
        <w:t xml:space="preserve">lt, das AMÜ zulässsig ist, wenn der Schwerpunkt der </w:t>
      </w:r>
      <w:r w:rsidR="00A36E1B">
        <w:t>a</w:t>
      </w:r>
      <w:r w:rsidR="00FF62B5">
        <w:t>rbeitsrechtlichen Beziehung, zwischen Verleiher und Arbeitnehmer liegt</w:t>
      </w:r>
      <w:r w:rsidR="00FD59F0">
        <w:t xml:space="preserve">, wofür </w:t>
      </w:r>
      <w:r w:rsidR="00C70BB4">
        <w:t>folgende</w:t>
      </w:r>
      <w:r w:rsidR="00FD59F0">
        <w:t xml:space="preserve"> Voraussetzungen gelten</w:t>
      </w:r>
    </w:p>
    <w:p w:rsidR="00C53DD8" w:rsidRDefault="00FD59F0" w:rsidP="00C70BB4">
      <w:pPr>
        <w:pStyle w:val="Listenabsatz"/>
        <w:numPr>
          <w:ilvl w:val="0"/>
          <w:numId w:val="3"/>
        </w:numPr>
      </w:pPr>
      <w:r>
        <w:t xml:space="preserve">Das das Arbeitsverhältnis zwischen Arbeitnehmer und Verleiher </w:t>
      </w:r>
      <w:r w:rsidR="005E5F27">
        <w:t xml:space="preserve">muss </w:t>
      </w:r>
      <w:r>
        <w:t>fortbesteht, während dieser beim Entleiher tätig</w:t>
      </w:r>
      <w:r w:rsidR="005E5F27">
        <w:t xml:space="preserve"> ist. </w:t>
      </w:r>
    </w:p>
    <w:p w:rsidR="00C53DD8" w:rsidRDefault="005E5F27" w:rsidP="00C70BB4">
      <w:pPr>
        <w:pStyle w:val="Listenabsatz"/>
        <w:numPr>
          <w:ilvl w:val="0"/>
          <w:numId w:val="3"/>
        </w:numPr>
      </w:pPr>
      <w:r>
        <w:t xml:space="preserve">Das Vertragsverhältnis zwischen Arbeitnehmer und Verleiher muss den Einsatz beim Entleiher überdauern. </w:t>
      </w:r>
    </w:p>
    <w:p w:rsidR="005E5F27" w:rsidRDefault="00C53DD8" w:rsidP="00C70BB4">
      <w:pPr>
        <w:pStyle w:val="Listenabsatz"/>
        <w:numPr>
          <w:ilvl w:val="0"/>
          <w:numId w:val="3"/>
        </w:numPr>
      </w:pPr>
      <w:r>
        <w:t xml:space="preserve">Der </w:t>
      </w:r>
      <w:r w:rsidR="00780FEB">
        <w:t>Verl</w:t>
      </w:r>
      <w:r w:rsidR="005E5F27">
        <w:t>eiher trägt das Beschäftigungsriskio</w:t>
      </w:r>
      <w:r w:rsidR="00780FEB">
        <w:t xml:space="preserve"> und ist zur Lohnfortzahlung an den Arbeitnehmer während mangelnder Einsatzzeiten </w:t>
      </w:r>
      <w:r>
        <w:t xml:space="preserve">beim Entleiher </w:t>
      </w:r>
      <w:r w:rsidR="00780FEB">
        <w:t>verpflichet.</w:t>
      </w:r>
    </w:p>
    <w:p w:rsidR="002363F5" w:rsidRDefault="00C53DD8" w:rsidP="00506565">
      <w:r>
        <w:t>R</w:t>
      </w:r>
      <w:r w:rsidR="004F0E06">
        <w:t>elevant für die Leiharbeit sind diese</w:t>
      </w:r>
      <w:r w:rsidR="00506565">
        <w:t xml:space="preserve"> </w:t>
      </w:r>
      <w:r w:rsidR="00961CFB">
        <w:t xml:space="preserve">drei </w:t>
      </w:r>
      <w:r w:rsidR="00660469">
        <w:t>Grundsatzu</w:t>
      </w:r>
      <w:r w:rsidR="00506565">
        <w:t xml:space="preserve">rteile insofern, als das sie die Erklärung liefern, woher die </w:t>
      </w:r>
      <w:r w:rsidR="002363F5">
        <w:t xml:space="preserve">gedanklichen </w:t>
      </w:r>
      <w:r w:rsidR="00506565">
        <w:t xml:space="preserve">Ordnungsstrukturen </w:t>
      </w:r>
      <w:r w:rsidR="008B0E63">
        <w:t>der Arbeitnehmerüberlassung stammen</w:t>
      </w:r>
      <w:r w:rsidR="002363F5">
        <w:t xml:space="preserve">. </w:t>
      </w:r>
    </w:p>
    <w:p w:rsidR="002363F5" w:rsidRDefault="002363F5" w:rsidP="00506565"/>
    <w:p w:rsidR="00B90698" w:rsidRDefault="00B90698" w:rsidP="00506565">
      <w:r>
        <w:lastRenderedPageBreak/>
        <w:t xml:space="preserve">1972 kam es zur gesetzlichen Regulation der Leiharbeit. </w:t>
      </w:r>
      <w:r w:rsidR="004A7E69">
        <w:t>Hierbei übernahm die Bundesregierung</w:t>
      </w:r>
      <w:r w:rsidR="00057944">
        <w:t xml:space="preserve"> </w:t>
      </w:r>
      <w:r w:rsidR="00A640E9">
        <w:t>die</w:t>
      </w:r>
      <w:r w:rsidR="007A384F">
        <w:t xml:space="preserve"> </w:t>
      </w:r>
      <w:r w:rsidR="00A640E9">
        <w:t xml:space="preserve">juristisch </w:t>
      </w:r>
      <w:r w:rsidR="008E3A2D">
        <w:t>v</w:t>
      </w:r>
      <w:r w:rsidR="00A640E9">
        <w:t>orgezeichneten Grundstrukturen für die Leiharbeit</w:t>
      </w:r>
      <w:r w:rsidR="007A384F">
        <w:t>.</w:t>
      </w:r>
      <w:r w:rsidR="00A822CF">
        <w:t xml:space="preserve"> </w:t>
      </w:r>
      <w:r w:rsidR="007A384F">
        <w:t xml:space="preserve">Anlass </w:t>
      </w:r>
      <w:r w:rsidR="004A7E69">
        <w:t>für die gesetzliche Regelung war</w:t>
      </w:r>
      <w:r w:rsidR="007A384F">
        <w:t xml:space="preserve">, das infolge des Urteil des BVerfG die Zahl der Verleihunternehmen </w:t>
      </w:r>
      <w:r>
        <w:t xml:space="preserve">schlagartig </w:t>
      </w:r>
      <w:r w:rsidR="007A384F">
        <w:t>zunahm und Missstände öffentlich wurden</w:t>
      </w:r>
      <w:r w:rsidR="004A7E69">
        <w:rPr>
          <w:rStyle w:val="Funotenzeichen"/>
        </w:rPr>
        <w:footnoteReference w:id="3"/>
      </w:r>
      <w:r w:rsidR="007A384F">
        <w:t xml:space="preserve">.  </w:t>
      </w:r>
    </w:p>
    <w:p w:rsidR="00533432" w:rsidRDefault="002B72FF" w:rsidP="00506565">
      <w:r>
        <w:t>Die B</w:t>
      </w:r>
      <w:r w:rsidR="00CC78CB">
        <w:t>undesregierung verfolgte</w:t>
      </w:r>
      <w:r w:rsidR="001A5F7E">
        <w:t xml:space="preserve"> mit </w:t>
      </w:r>
      <w:r w:rsidR="00487467">
        <w:t xml:space="preserve">der gesetzlichen Regelung der </w:t>
      </w:r>
      <w:r w:rsidR="001A5F7E">
        <w:t>AMÜ</w:t>
      </w:r>
      <w:r w:rsidR="00487467">
        <w:t xml:space="preserve"> </w:t>
      </w:r>
      <w:r w:rsidR="00CC78CB">
        <w:t>das Ziel</w:t>
      </w:r>
      <w:r w:rsidR="00487467">
        <w:t>, in erster Line, betroffende Arbeitnehmer zu schützen, Missständen auf dem Gebiet der Leiharbeit vorz</w:t>
      </w:r>
      <w:r w:rsidR="00B81C1D">
        <w:t xml:space="preserve">ubeugen und Verstößen gegen Vorschriften des Arbeits,-Vermittlungs-, Sozialversicherungsrechts-und Steuerrechts wirksam zu begegen. Vgl S.62 Rn12. </w:t>
      </w:r>
    </w:p>
    <w:p w:rsidR="001A5F7E" w:rsidRDefault="00CB3CDE" w:rsidP="00506565">
      <w:r>
        <w:t xml:space="preserve">Um das Ziel zu erreichen, </w:t>
      </w:r>
      <w:r w:rsidR="00CC78CB">
        <w:t xml:space="preserve">begrenzte </w:t>
      </w:r>
      <w:r>
        <w:t xml:space="preserve">das AMÜ von 1972 </w:t>
      </w:r>
      <w:r w:rsidR="00CC78CB">
        <w:t>die Dauer des Einsatzes für den Leiharbeitnehmer beim Entleihunternehmen</w:t>
      </w:r>
      <w:r>
        <w:t xml:space="preserve"> auf den Zeitraum von 3 Monaten, Verbot die Befristung von Leiharbeitsverhältnissen zwischen Arbeit</w:t>
      </w:r>
      <w:r w:rsidR="00C7378E">
        <w:t xml:space="preserve">nehmer </w:t>
      </w:r>
      <w:r>
        <w:t xml:space="preserve">und </w:t>
      </w:r>
      <w:r w:rsidR="00C7378E">
        <w:t>Verleih</w:t>
      </w:r>
      <w:r>
        <w:t>arbeitgeber</w:t>
      </w:r>
      <w:r w:rsidR="00C7378E">
        <w:t xml:space="preserve">, führte ein </w:t>
      </w:r>
      <w:r w:rsidR="003C203C">
        <w:t>Synchornisatio</w:t>
      </w:r>
      <w:r w:rsidR="00AA1B99">
        <w:t>ns</w:t>
      </w:r>
      <w:r w:rsidR="003C203C">
        <w:t>verbot ein</w:t>
      </w:r>
      <w:r w:rsidR="00AA1B99">
        <w:t xml:space="preserve"> </w:t>
      </w:r>
      <w:r w:rsidR="00C7378E">
        <w:t>und b</w:t>
      </w:r>
      <w:r w:rsidR="00175A6B">
        <w:t xml:space="preserve">estimmte gesetztlich das Betriebsrisko </w:t>
      </w:r>
      <w:r w:rsidR="003C203C">
        <w:t>beim Verleiher verbleibt</w:t>
      </w:r>
      <w:r w:rsidR="00C7378E">
        <w:t>. Zudem</w:t>
      </w:r>
      <w:r w:rsidR="003C203C">
        <w:t xml:space="preserve"> normierte </w:t>
      </w:r>
      <w:r w:rsidR="00C7378E">
        <w:t xml:space="preserve">es </w:t>
      </w:r>
      <w:r w:rsidR="003C203C">
        <w:t xml:space="preserve">die </w:t>
      </w:r>
      <w:r w:rsidR="00175A6B">
        <w:t xml:space="preserve">Pflicht </w:t>
      </w:r>
      <w:r w:rsidR="003C203C">
        <w:t xml:space="preserve">zur </w:t>
      </w:r>
      <w:r w:rsidR="00175A6B">
        <w:t xml:space="preserve">Lohnfortzahlung in </w:t>
      </w:r>
      <w:r w:rsidR="003C203C">
        <w:t>Zeiten M</w:t>
      </w:r>
      <w:r w:rsidR="00B1174A">
        <w:t>angelnder</w:t>
      </w:r>
      <w:r w:rsidR="003C203C">
        <w:t xml:space="preserve"> Einsatzzeiten des Verleiharbeitnehmers</w:t>
      </w:r>
      <w:r w:rsidR="00C7378E">
        <w:t xml:space="preserve"> und Verbot die gewerbliche Verleihtätigkeit für den Bereich </w:t>
      </w:r>
      <w:r w:rsidR="0007510E">
        <w:t xml:space="preserve">des Bauhauptgewerbes. </w:t>
      </w:r>
    </w:p>
    <w:p w:rsidR="00765413" w:rsidRDefault="00E537A3" w:rsidP="00506565">
      <w:r>
        <w:t>Weitere</w:t>
      </w:r>
      <w:r w:rsidR="00CD1709">
        <w:t xml:space="preserve"> Schutzvorschrift</w:t>
      </w:r>
      <w:r>
        <w:t xml:space="preserve"> des AMÜ </w:t>
      </w:r>
      <w:r w:rsidR="009741C0">
        <w:t xml:space="preserve">ist </w:t>
      </w:r>
      <w:r>
        <w:t>d</w:t>
      </w:r>
      <w:r w:rsidR="00CD1709">
        <w:t>ie gewerbsmäßige Leiharbeit unter den Erlaubsnisvorbehalt zu stellten</w:t>
      </w:r>
      <w:r w:rsidR="00405187">
        <w:t xml:space="preserve">. Für die </w:t>
      </w:r>
      <w:r w:rsidR="003C07AF">
        <w:t>Erteilung</w:t>
      </w:r>
      <w:r w:rsidR="00405187">
        <w:t xml:space="preserve"> </w:t>
      </w:r>
      <w:r w:rsidR="00D7030F">
        <w:t xml:space="preserve">und Kontrolle </w:t>
      </w:r>
      <w:r w:rsidR="003C07AF">
        <w:t xml:space="preserve">zuständig </w:t>
      </w:r>
      <w:r w:rsidR="00405187">
        <w:t>ist die Bundesagentur</w:t>
      </w:r>
      <w:r w:rsidR="003C07AF">
        <w:t>. Neben dem Erlaubsnisvorbehalt der an Bedingungen gekünpft ist, versieht das AMÜ</w:t>
      </w:r>
      <w:r w:rsidR="00405187">
        <w:t xml:space="preserve"> </w:t>
      </w:r>
      <w:r w:rsidR="00D7030F">
        <w:t xml:space="preserve">die BA </w:t>
      </w:r>
      <w:r w:rsidR="00405187">
        <w:t xml:space="preserve">mit dem </w:t>
      </w:r>
      <w:r w:rsidR="003C07AF">
        <w:t xml:space="preserve">Recht </w:t>
      </w:r>
      <w:r w:rsidR="00405187">
        <w:t xml:space="preserve">des Widerrufes der Erlaubnis </w:t>
      </w:r>
      <w:r w:rsidR="00D7030F">
        <w:t>als Sanktionsinstrument</w:t>
      </w:r>
      <w:r w:rsidR="00765413">
        <w:t xml:space="preserve"> bei schwerwiegend Verstößen des Verleihers </w:t>
      </w:r>
      <w:r w:rsidR="009741C0">
        <w:t>gegen seine Arbeitnehmerpflichten.</w:t>
      </w:r>
      <w:r w:rsidR="00405187">
        <w:t xml:space="preserve"> </w:t>
      </w:r>
    </w:p>
    <w:p w:rsidR="009741C0" w:rsidRDefault="009741C0" w:rsidP="00506565">
      <w:r>
        <w:t xml:space="preserve">Zudem führte das AMÜ </w:t>
      </w:r>
      <w:r w:rsidR="0035088E">
        <w:t>umfangreiche Dokumentationspflichten</w:t>
      </w:r>
      <w:r w:rsidR="00BB4A19">
        <w:t xml:space="preserve"> und verstärkte den Schutz des Leiharbeites</w:t>
      </w:r>
      <w:r w:rsidR="0035088E">
        <w:t xml:space="preserve"> </w:t>
      </w:r>
      <w:r w:rsidR="00BB4A19">
        <w:t xml:space="preserve">indem es </w:t>
      </w:r>
      <w:r>
        <w:t xml:space="preserve">eine Mithaftung des Entleihunternehmes für Sozialversicherungsbeiträge </w:t>
      </w:r>
      <w:r w:rsidR="00BB4A19">
        <w:t>normierte</w:t>
      </w:r>
      <w:r w:rsidR="00FF2AD7">
        <w:t>.</w:t>
      </w:r>
      <w:r w:rsidR="00BB4A19">
        <w:t xml:space="preserve"> </w:t>
      </w:r>
      <w:r w:rsidR="00FF2AD7">
        <w:t>Auch legte es fest, das bei Verstößen des Verleihers gegen</w:t>
      </w:r>
      <w:r w:rsidR="00BB4A19">
        <w:t xml:space="preserve"> Vorschriften des AÜG </w:t>
      </w:r>
      <w:r w:rsidR="005C2158">
        <w:t>i</w:t>
      </w:r>
      <w:r w:rsidR="00FF2AD7">
        <w:t xml:space="preserve">nsbesondere Sychoronisationsverbot, ein Zustandekommen </w:t>
      </w:r>
      <w:r w:rsidR="00036A0E">
        <w:t>eines</w:t>
      </w:r>
      <w:r w:rsidR="00FF2AD7">
        <w:t xml:space="preserve"> dauerhaften Arbeitsverhältnises </w:t>
      </w:r>
      <w:r w:rsidR="005C2158">
        <w:t xml:space="preserve">beim Entleiher </w:t>
      </w:r>
      <w:r w:rsidR="00FF2AD7">
        <w:t>fingierte. S.63</w:t>
      </w:r>
    </w:p>
    <w:p w:rsidR="00036A0E" w:rsidRDefault="005C2158" w:rsidP="001F75BA">
      <w:r>
        <w:t>Überdies legte der Gesetzgeber in der Fassung des AMÜ fest</w:t>
      </w:r>
      <w:r w:rsidR="0036146D">
        <w:t xml:space="preserve"> im Abstand von 2 Jahren über Entwicklung in der Leiharbeit informiert zu werden. </w:t>
      </w:r>
    </w:p>
    <w:p w:rsidR="00036A0E" w:rsidRDefault="00036A0E" w:rsidP="001F75BA"/>
    <w:p w:rsidR="00B1174A" w:rsidRDefault="00AA1B99" w:rsidP="001F75BA">
      <w:r>
        <w:t xml:space="preserve">Der Gesetzgeber begründete </w:t>
      </w:r>
      <w:r w:rsidR="00C7378E">
        <w:t>die umfangreichen Beschränken damit</w:t>
      </w:r>
      <w:r w:rsidR="00130BF7">
        <w:t xml:space="preserve"> „ bei der Arbeitnehmerüberlasssung Verhältnise herzustellen, die den Anforderungen </w:t>
      </w:r>
      <w:r w:rsidR="00B1174A">
        <w:t>d</w:t>
      </w:r>
      <w:r w:rsidR="00130BF7">
        <w:t xml:space="preserve">es </w:t>
      </w:r>
      <w:r w:rsidR="00B1174A">
        <w:t>s</w:t>
      </w:r>
      <w:r w:rsidR="00130BF7">
        <w:t xml:space="preserve">ozialen Rechtsstaates entsprechen und eine Ausbeutung </w:t>
      </w:r>
      <w:r w:rsidR="0024676D">
        <w:t xml:space="preserve">der betroffen Arbeitgeber verhindern.“ </w:t>
      </w:r>
      <w:r w:rsidR="00B96F5E">
        <w:rPr>
          <w:rStyle w:val="Funotenzeichen"/>
        </w:rPr>
        <w:footnoteReference w:id="4"/>
      </w:r>
    </w:p>
    <w:p w:rsidR="00B1174A" w:rsidRDefault="00B1174A" w:rsidP="001F75BA"/>
    <w:p w:rsidR="00B1174A" w:rsidRDefault="00B1174A" w:rsidP="001F75BA"/>
    <w:p w:rsidR="003C5BEB" w:rsidRDefault="00BB00D9" w:rsidP="001F75BA">
      <w:r>
        <w:t xml:space="preserve">Das Modell der </w:t>
      </w:r>
      <w:r w:rsidR="003C5BEB">
        <w:t>Arbeitgeber</w:t>
      </w:r>
      <w:r>
        <w:t xml:space="preserve">prinzips der Arbeitnehmerüberlassung </w:t>
      </w:r>
      <w:r w:rsidR="003C5BEB">
        <w:t>bilde</w:t>
      </w:r>
      <w:r>
        <w:t>t</w:t>
      </w:r>
      <w:r w:rsidR="003C5BEB">
        <w:t xml:space="preserve"> </w:t>
      </w:r>
      <w:r>
        <w:t>in der EU die Ausnahme</w:t>
      </w:r>
      <w:r w:rsidR="00BA3C1B">
        <w:t>. Weiter</w:t>
      </w:r>
      <w:r w:rsidR="003C5BEB">
        <w:t xml:space="preserve"> verbreitet ist als Modell </w:t>
      </w:r>
      <w:r w:rsidR="00BA3C1B">
        <w:t xml:space="preserve">des </w:t>
      </w:r>
      <w:r w:rsidR="003C5BEB">
        <w:t>Agenturprinzi</w:t>
      </w:r>
      <w:r w:rsidR="00BA3C1B">
        <w:t xml:space="preserve">p. Der Verleiher wirkt hier eher wie ein Arbeitsvermittler, </w:t>
      </w:r>
      <w:r w:rsidR="00321E31">
        <w:t>w</w:t>
      </w:r>
      <w:r w:rsidR="00BA3C1B">
        <w:t>ährend der Verleiharbeitnehmer für die Dauer seiner Beschäftigung einen Vertrag mit dem Entleihunternehmen eingeht.</w:t>
      </w:r>
    </w:p>
    <w:p w:rsidR="00EF5CE3" w:rsidRDefault="00EF5CE3" w:rsidP="001F75BA">
      <w:bookmarkStart w:id="0" w:name="_GoBack"/>
      <w:bookmarkEnd w:id="0"/>
    </w:p>
    <w:p w:rsidR="00DB11E6" w:rsidRDefault="00DB11E6" w:rsidP="001F75BA">
      <w:r>
        <w:lastRenderedPageBreak/>
        <w:t xml:space="preserve">Zugelassen wurde </w:t>
      </w:r>
    </w:p>
    <w:p w:rsidR="00DB11E6" w:rsidRDefault="00DB11E6" w:rsidP="001F75BA"/>
    <w:p w:rsidR="00DB11E6" w:rsidRDefault="00DB11E6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3A6E1C" w:rsidRDefault="003A6E1C" w:rsidP="001F75BA"/>
    <w:p w:rsidR="001F75BA" w:rsidRDefault="001F75BA" w:rsidP="001F75BA">
      <w:r>
        <w:t xml:space="preserve">Die Arbeitnehmerüberlassung ist im AÜG geregelt. Das AÜG umfaßt </w:t>
      </w:r>
    </w:p>
    <w:p w:rsidR="000B5096" w:rsidRDefault="000B5096" w:rsidP="001F75BA">
      <w:r>
        <w:t xml:space="preserve">Das AÜG regelt fünf Teilbereiche. </w:t>
      </w:r>
    </w:p>
    <w:p w:rsidR="000B5096" w:rsidRDefault="00C41585" w:rsidP="001F75BA">
      <w:r>
        <w:t xml:space="preserve">Ergänzt wird das AÜG durch punktuelle Sonderregelungen in anderen Gesetzen. </w:t>
      </w:r>
    </w:p>
    <w:p w:rsidR="00F7479D" w:rsidRDefault="00E92EB1">
      <w:r>
        <w:t>Historisch geht die Arbeitnehmerüberlassung</w:t>
      </w:r>
      <w:r w:rsidR="00EA23C6">
        <w:t xml:space="preserve"> zurück.</w:t>
      </w:r>
    </w:p>
    <w:p w:rsidR="00E92EB1" w:rsidRDefault="00C14B6D">
      <w:r>
        <w:t xml:space="preserve">Im Zeitverlauf der hisotrischen Entwicklung </w:t>
      </w:r>
      <w:r w:rsidR="00A11FE6">
        <w:t xml:space="preserve">des Arbeitnehmerüberlassungsgesetzes ist auffällig das in immer kürzeren Abständen </w:t>
      </w:r>
      <w:r w:rsidR="00D02003">
        <w:t>Le</w:t>
      </w:r>
    </w:p>
    <w:p w:rsidR="00D02003" w:rsidRDefault="00D02003"/>
    <w:p w:rsidR="00D02003" w:rsidRDefault="00D02003">
      <w:r>
        <w:t>In der Literatur w</w:t>
      </w:r>
      <w:r w:rsidR="00EF79C4">
        <w:t>ird diese Entwicklung mehrfach durch</w:t>
      </w:r>
      <w:r>
        <w:t xml:space="preserve"> folgende Tabelle </w:t>
      </w:r>
      <w:r w:rsidR="004E45CF">
        <w:t xml:space="preserve">verdeutlicht. </w:t>
      </w:r>
    </w:p>
    <w:p w:rsidR="004E45CF" w:rsidRDefault="004E45CF"/>
    <w:p w:rsidR="004E45CF" w:rsidRDefault="004E45CF">
      <w:r>
        <w:t>Leider entgeht dieser Tabelle die Erfassung, eines wichtigen Paradigmenwechel in der Leiharbeit.</w:t>
      </w:r>
    </w:p>
    <w:p w:rsidR="00994D50" w:rsidRDefault="00994D50">
      <w:r>
        <w:t>Das wichtigste Unte</w:t>
      </w:r>
      <w:r w:rsidR="00033888">
        <w:t>rscheidungsmerkmal der AMÜ in der alten und neuen Form besteht darin,</w:t>
      </w:r>
    </w:p>
    <w:p w:rsidR="00033888" w:rsidRDefault="00033888">
      <w:r>
        <w:t xml:space="preserve">Zweck war kurzfristige gewerbliche Arbeitarbeitnehmerüberlassung legislativ zu erfassen, </w:t>
      </w:r>
      <w:r w:rsidR="0099668E">
        <w:t xml:space="preserve">und gleichzeitig langfristige Arbeitnehmerüberlassung </w:t>
      </w:r>
      <w:r w:rsidR="00186FE1">
        <w:t xml:space="preserve">zu Unterbinden. </w:t>
      </w:r>
      <w:r w:rsidR="0099668E">
        <w:t xml:space="preserve"> Ziel war immer </w:t>
      </w:r>
    </w:p>
    <w:p w:rsidR="00A77842" w:rsidRDefault="00186FE1">
      <w:r>
        <w:lastRenderedPageBreak/>
        <w:t xml:space="preserve">Der Wandel dieser Beschäftigungsform </w:t>
      </w:r>
      <w:r w:rsidR="00301662">
        <w:t xml:space="preserve">besteht darin, Deckung eines ständig vorhanden Arbeitkräfebedarfs. </w:t>
      </w:r>
    </w:p>
    <w:p w:rsidR="00A77842" w:rsidRDefault="00A77842"/>
    <w:p w:rsidR="00D02003" w:rsidRDefault="00D02003"/>
    <w:p w:rsidR="00A11FE6" w:rsidRDefault="00A11FE6">
      <w:r>
        <w:t xml:space="preserve">Gleichwohl hat das AÜG durch die , weil dadruch Funktion und Struktur der Arbeitnehmerüberlassung grundlegend verändert </w:t>
      </w:r>
      <w:r w:rsidR="00D02003">
        <w:t xml:space="preserve">haben. </w:t>
      </w:r>
    </w:p>
    <w:p w:rsidR="00D02003" w:rsidRDefault="00D02003">
      <w:r>
        <w:t xml:space="preserve">Diese Veränderung </w:t>
      </w:r>
    </w:p>
    <w:p w:rsidR="00E92EB1" w:rsidRDefault="00E92EB1"/>
    <w:p w:rsidR="00590540" w:rsidRDefault="00F7479D">
      <w:r>
        <w:t xml:space="preserve">Kernstück der Reform des Arbeitnehmerüberlassungsgesetzes </w:t>
      </w:r>
      <w:r w:rsidR="00CA0C79">
        <w:t>war</w:t>
      </w:r>
      <w:r w:rsidR="00590540">
        <w:t xml:space="preserve"> </w:t>
      </w:r>
      <w:r w:rsidR="00CA0C79">
        <w:t xml:space="preserve"> die Implementierung eines neuen Gleichbehandlungsgebotes in des Arbeitnehmerüberlasssunggesetz</w:t>
      </w:r>
      <w:r w:rsidR="00590540">
        <w:t>.</w:t>
      </w:r>
      <w:r w:rsidR="00DA75E1">
        <w:t xml:space="preserve"> Infolge dieser Neuregelung wurde formal ein </w:t>
      </w:r>
      <w:r w:rsidR="00DB3E85">
        <w:t xml:space="preserve">Gleichbehandlungsgebot </w:t>
      </w:r>
      <w:r w:rsidR="00303828">
        <w:t xml:space="preserve">bzw. Nichtdiskiminierungbebot eingeführt, </w:t>
      </w:r>
      <w:r w:rsidR="00DB3E85">
        <w:t xml:space="preserve">wofür im Gesetzesverfahren sich der Begriff des Equal Pay and Equal Treatment etalierte. </w:t>
      </w:r>
    </w:p>
    <w:p w:rsidR="004A608E" w:rsidRDefault="004A608E">
      <w:r>
        <w:t xml:space="preserve">Der Doppelbegriff des Equal Pay and Equal Treatment </w:t>
      </w:r>
      <w:r w:rsidR="00BA3171">
        <w:t>bezieht sich hierbei auf zwei miteinander bezogene, jedoch juristich zu trennde Sachverhalte</w:t>
      </w:r>
      <w:r w:rsidR="00303828">
        <w:t xml:space="preserve">. Equal Pay bezieht sich hierbei auf das Arbeitsentgelt und Equal Treatment </w:t>
      </w:r>
      <w:r w:rsidR="00BA3171">
        <w:t xml:space="preserve">meint die wesentlichen und vergleichbaren Arbeitsbedingungen, auf die ein Leiharbeitnehmer anspruch hat. </w:t>
      </w:r>
    </w:p>
    <w:p w:rsidR="004A608E" w:rsidRDefault="0052785B">
      <w:r>
        <w:t xml:space="preserve">Hiernach haben Leiharbeitnehmer gegenüber dem Verleiher einen Anspruch auf die im Betrieb des Entleihers </w:t>
      </w:r>
      <w:r w:rsidR="006D7EA8">
        <w:t xml:space="preserve">gelten wesentlichen Arbeitsbedingungen für einen vergleichbaren Arbeitnehrm einschließlich des Arbeitsentgelts. </w:t>
      </w:r>
    </w:p>
    <w:p w:rsidR="00CA0C79" w:rsidRDefault="00CA0C79"/>
    <w:p w:rsidR="00CA0C79" w:rsidRDefault="006B5354" w:rsidP="006B5354">
      <w:pPr>
        <w:pStyle w:val="Listenabsatz"/>
        <w:numPr>
          <w:ilvl w:val="1"/>
          <w:numId w:val="2"/>
        </w:numPr>
      </w:pPr>
      <w:r>
        <w:t xml:space="preserve">Schutzvorschriften des  AÜG </w:t>
      </w:r>
    </w:p>
    <w:p w:rsidR="006B5354" w:rsidRDefault="006B5354" w:rsidP="006B5354">
      <w:r>
        <w:t>Im Gegenzug zu den Elementen welches das AÜG liberalsieren fügte der Gesetzgeber eine Reihe von Schutzvorschiften ein.</w:t>
      </w:r>
    </w:p>
    <w:p w:rsidR="00095390" w:rsidRDefault="00095390" w:rsidP="006B5354">
      <w:r>
        <w:t xml:space="preserve">Zu den Schutzvorschriften gehören, gemäß der juristen Literatur. Die Erlaubnispflicht für die gewerbliche Arbeitnehmerüberlasssung, die den sozialen Schutz des Leiharbeitnehmers sicherstellen soll. </w:t>
      </w:r>
    </w:p>
    <w:p w:rsidR="00CD56B9" w:rsidRDefault="00CD56B9" w:rsidP="006B5354">
      <w:r>
        <w:t xml:space="preserve">Zweite Schutzvorschrift. </w:t>
      </w:r>
    </w:p>
    <w:p w:rsidR="006B5354" w:rsidRDefault="006B5354" w:rsidP="006B5354"/>
    <w:p w:rsidR="00CA0C79" w:rsidRDefault="00590540">
      <w:r>
        <w:t>Verbesserung der Stellung des Leiharbeitnehmers im Gesetz</w:t>
      </w:r>
    </w:p>
    <w:p w:rsidR="00590540" w:rsidRDefault="00590540"/>
    <w:p w:rsidR="00CA0C79" w:rsidRDefault="00DA75E1">
      <w:r>
        <w:t xml:space="preserve">1.2 </w:t>
      </w:r>
    </w:p>
    <w:p w:rsidR="00C41585" w:rsidRDefault="00CA0C79">
      <w:r>
        <w:t xml:space="preserve">1.2 </w:t>
      </w:r>
      <w:r w:rsidR="00C41585">
        <w:t xml:space="preserve">Poltische </w:t>
      </w:r>
      <w:r w:rsidR="002072DA">
        <w:t>Intension</w:t>
      </w:r>
    </w:p>
    <w:p w:rsidR="000D3AE5" w:rsidRDefault="000D3AE5">
      <w:r>
        <w:t xml:space="preserve">In der amtlichen Begründung des rot-grünen Gesetzgebers ist die Intension dargelegt. Ziel des Gesetzgebers war, „ bei der Arbeitnehmerüberlassung Verhältnisse herzustellen, die den Anforderungen </w:t>
      </w:r>
      <w:r w:rsidR="00F91D87">
        <w:t>des sozia</w:t>
      </w:r>
      <w:r>
        <w:t>len Rechtstaates entsprechen und eine Ausbeutung der betroffen Arbeitnehmer ausschließen.“</w:t>
      </w:r>
      <w:r w:rsidR="00F91D87">
        <w:t xml:space="preserve"> (Vgl. RegE zum AÜG, BT-Drs.6/2303. S.9)</w:t>
      </w:r>
    </w:p>
    <w:p w:rsidR="0057258A" w:rsidRDefault="00CB20F4">
      <w:r>
        <w:lastRenderedPageBreak/>
        <w:t>Ein weiteres Motiv der Liberaslierung der Arbeitnehmerüberlasssung</w:t>
      </w:r>
      <w:r w:rsidR="0057258A">
        <w:t xml:space="preserve"> war, die Schaffung von gesellschatlicher Akzeptanz für diese Beschäftigungsform, sowie die Zunahme der Qualität der Leiharbeit. </w:t>
      </w:r>
    </w:p>
    <w:p w:rsidR="0057258A" w:rsidRDefault="0057258A">
      <w:r>
        <w:t>So betonte der Wirtschafttsminsiter Clement, das grade hochwertige Leiharbeit notwendig sei</w:t>
      </w:r>
      <w:r w:rsidR="00C37ECC">
        <w:t xml:space="preserve">, um den wachsenden Bedarf der Unternehmen an qualifizietieen Arbeitskärften mit unterschiedlichen Kompetenzen abzudecken. </w:t>
      </w:r>
    </w:p>
    <w:p w:rsidR="00CB20F4" w:rsidRDefault="00CB20F4"/>
    <w:p w:rsidR="006D7EA8" w:rsidRDefault="005324B5">
      <w:r>
        <w:t>Der politische Kniff die Tarifparteien Arbeitgeberverbände und Gewerschaften an einen Tisch zu bringen, bestand darin das Arbeitnehmerüberlassungsgesetz Tarfidispositiv zu gestalten. Der</w:t>
      </w:r>
    </w:p>
    <w:p w:rsidR="00EA1804" w:rsidRDefault="00EA1804">
      <w:r>
        <w:t>Ziel des rot-grünen Gesetzgebers war eine Balance herzustellen zwischen Flexibilität und Sicherheit.</w:t>
      </w:r>
    </w:p>
    <w:p w:rsidR="000B5096" w:rsidRDefault="000B5096"/>
    <w:p w:rsidR="00EA1804" w:rsidRDefault="00EA1804">
      <w:r>
        <w:t>Die Einführung des Gleichbehandlungsgebotes</w:t>
      </w:r>
      <w:r w:rsidR="00FA442E">
        <w:t>, sollte die Tarifpartner dazu zwingen, einen umfassenden I</w:t>
      </w:r>
      <w:r w:rsidR="00E73490">
        <w:t>nterssensausgleich zu erzielen.</w:t>
      </w:r>
    </w:p>
    <w:p w:rsidR="00E73490" w:rsidRDefault="00E73490" w:rsidP="00E73490">
      <w:pPr>
        <w:pStyle w:val="Listenabsatz"/>
        <w:numPr>
          <w:ilvl w:val="1"/>
          <w:numId w:val="1"/>
        </w:numPr>
      </w:pPr>
      <w:r>
        <w:t>Die Politsche Reaktion</w:t>
      </w:r>
      <w:r w:rsidR="004E35DE">
        <w:t xml:space="preserve"> auf den Equal-Pay-Ansatz</w:t>
      </w:r>
    </w:p>
    <w:p w:rsidR="005E3887" w:rsidRDefault="0067736E" w:rsidP="00E73490">
      <w:r>
        <w:t xml:space="preserve">Die Implemtentierung des Gleichbehandlungsgrundsatzes im Arbeitnehmerüberlassungsgesetz hat </w:t>
      </w:r>
      <w:r w:rsidR="004E35DE">
        <w:t>zu einer Heftigen</w:t>
      </w:r>
      <w:r>
        <w:t xml:space="preserve"> politischen Reaktion </w:t>
      </w:r>
      <w:r w:rsidR="004E35DE">
        <w:t>und die Verleihunternehem</w:t>
      </w:r>
      <w:r>
        <w:t xml:space="preserve"> </w:t>
      </w:r>
      <w:r w:rsidR="004E35DE">
        <w:t xml:space="preserve">zu einer Verfassungsbeschwerde </w:t>
      </w:r>
      <w:r w:rsidR="00B86A97">
        <w:t xml:space="preserve">beim Bundesverfassungsgericht verleitet. </w:t>
      </w:r>
      <w:r w:rsidR="006C0E5F">
        <w:t>Das Verfassungsgericht lehnte jedoch, mit Beschluß vom 29.12. 2004 ab die Klage zuzulassen und führte in knapper Begründung aus, das das Equal Pay and Equal Treatment</w:t>
      </w:r>
      <w:r w:rsidR="005E3887">
        <w:t xml:space="preserve"> mit der Verfasssung vereinbahr sind.</w:t>
      </w:r>
    </w:p>
    <w:p w:rsidR="004E35DE" w:rsidRDefault="005E3887" w:rsidP="00E73490">
      <w:r>
        <w:tab/>
        <w:t>Sind die tariflichen Bestimmungen der Leiharbeitnehmer einer gerichtlichtlichen Überprüfung zugängig.</w:t>
      </w:r>
    </w:p>
    <w:p w:rsidR="004E35DE" w:rsidRDefault="004E35DE" w:rsidP="00E73490"/>
    <w:p w:rsidR="00CA0C79" w:rsidRDefault="00590540">
      <w:r>
        <w:t xml:space="preserve">1.3 </w:t>
      </w:r>
    </w:p>
    <w:p w:rsidR="00CA0C79" w:rsidRDefault="00CA0C79">
      <w:r>
        <w:t xml:space="preserve">1.3 Faktische Wirkung auf die Tarifpartner </w:t>
      </w:r>
    </w:p>
    <w:p w:rsidR="00824418" w:rsidRDefault="00824418"/>
    <w:p w:rsidR="00824418" w:rsidRDefault="00824418">
      <w:r>
        <w:t xml:space="preserve">Die </w:t>
      </w:r>
      <w:r w:rsidR="008874DA">
        <w:t>Situation des Leiharbeitnehmers</w:t>
      </w:r>
    </w:p>
    <w:p w:rsidR="008874DA" w:rsidRDefault="008874DA">
      <w:r>
        <w:t xml:space="preserve">Betrachtet man die indiviudelle Situation </w:t>
      </w:r>
    </w:p>
    <w:p w:rsidR="008874DA" w:rsidRDefault="008874DA">
      <w:r>
        <w:t>So erwarten Entleiher und Verleiher vom Leiharbeitnehmer, ein hohes Maß an Flexibilität und</w:t>
      </w:r>
    </w:p>
    <w:sectPr w:rsidR="00887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9E8" w:rsidRDefault="00DC69E8" w:rsidP="00694C59">
      <w:pPr>
        <w:spacing w:after="0" w:line="240" w:lineRule="auto"/>
      </w:pPr>
      <w:r>
        <w:separator/>
      </w:r>
    </w:p>
  </w:endnote>
  <w:endnote w:type="continuationSeparator" w:id="0">
    <w:p w:rsidR="00DC69E8" w:rsidRDefault="00DC69E8" w:rsidP="0069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9E8" w:rsidRDefault="00DC69E8" w:rsidP="00694C59">
      <w:pPr>
        <w:spacing w:after="0" w:line="240" w:lineRule="auto"/>
      </w:pPr>
      <w:r>
        <w:separator/>
      </w:r>
    </w:p>
  </w:footnote>
  <w:footnote w:type="continuationSeparator" w:id="0">
    <w:p w:rsidR="00DC69E8" w:rsidRDefault="00DC69E8" w:rsidP="00694C59">
      <w:pPr>
        <w:spacing w:after="0" w:line="240" w:lineRule="auto"/>
      </w:pPr>
      <w:r>
        <w:continuationSeparator/>
      </w:r>
    </w:p>
  </w:footnote>
  <w:footnote w:id="1">
    <w:p w:rsidR="00694C59" w:rsidRDefault="00694C59">
      <w:pPr>
        <w:pStyle w:val="Funotentext"/>
      </w:pPr>
      <w:r>
        <w:rPr>
          <w:rStyle w:val="Funotenzeichen"/>
        </w:rPr>
        <w:footnoteRef/>
      </w:r>
      <w:r>
        <w:t xml:space="preserve"> 1 BvR 84/65 –BverfGE 21/261</w:t>
      </w:r>
    </w:p>
  </w:footnote>
  <w:footnote w:id="2">
    <w:p w:rsidR="000B3C5A" w:rsidRDefault="000B3C5A">
      <w:pPr>
        <w:pStyle w:val="Funotentext"/>
      </w:pPr>
      <w:r>
        <w:rPr>
          <w:rStyle w:val="Funotenzeichen"/>
        </w:rPr>
        <w:footnoteRef/>
      </w:r>
      <w:r>
        <w:t xml:space="preserve"> 1 BvR 126/63 – BverVG 21/245</w:t>
      </w:r>
    </w:p>
  </w:footnote>
  <w:footnote w:id="3">
    <w:p w:rsidR="004A7E69" w:rsidRDefault="004A7E69">
      <w:pPr>
        <w:pStyle w:val="Funotentext"/>
      </w:pPr>
      <w:r>
        <w:rPr>
          <w:rStyle w:val="Funotenzeichen"/>
        </w:rPr>
        <w:footnoteRef/>
      </w:r>
      <w:r>
        <w:t xml:space="preserve"> Lesenswert dokumentiert z.B. durch den Bericht des Abgeordneten Jaschke in der Bundestagsdrucksache VI/3505 </w:t>
      </w:r>
    </w:p>
  </w:footnote>
  <w:footnote w:id="4">
    <w:p w:rsidR="00B96F5E" w:rsidRDefault="00B96F5E">
      <w:pPr>
        <w:pStyle w:val="Funotentext"/>
      </w:pPr>
      <w:r>
        <w:rPr>
          <w:rStyle w:val="Funotenzeichen"/>
        </w:rPr>
        <w:footnoteRef/>
      </w:r>
      <w:r>
        <w:t xml:space="preserve"> Amt. Begr.derBReg v. 15.08.1971 Bt-drs. VI</w:t>
      </w:r>
      <w:r w:rsidR="00B37606">
        <w:t>/</w:t>
      </w:r>
      <w:r>
        <w:t>2303</w:t>
      </w:r>
      <w:r w:rsidR="00B37606">
        <w:t>,</w:t>
      </w:r>
      <w:r>
        <w:t xml:space="preserve"> S.9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3758"/>
    <w:multiLevelType w:val="multilevel"/>
    <w:tmpl w:val="6406D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8421DEA"/>
    <w:multiLevelType w:val="hybridMultilevel"/>
    <w:tmpl w:val="87321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05F2"/>
    <w:multiLevelType w:val="multilevel"/>
    <w:tmpl w:val="6C849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A6"/>
    <w:rsid w:val="00033888"/>
    <w:rsid w:val="00036A0E"/>
    <w:rsid w:val="00047FC3"/>
    <w:rsid w:val="00057944"/>
    <w:rsid w:val="0007510E"/>
    <w:rsid w:val="0008750D"/>
    <w:rsid w:val="00095390"/>
    <w:rsid w:val="000B3C5A"/>
    <w:rsid w:val="000B5096"/>
    <w:rsid w:val="000C3077"/>
    <w:rsid w:val="000D3AE5"/>
    <w:rsid w:val="000D6319"/>
    <w:rsid w:val="001106B3"/>
    <w:rsid w:val="001152DD"/>
    <w:rsid w:val="001226FC"/>
    <w:rsid w:val="00130BF7"/>
    <w:rsid w:val="00155A08"/>
    <w:rsid w:val="001571DC"/>
    <w:rsid w:val="00175A6B"/>
    <w:rsid w:val="00180DE7"/>
    <w:rsid w:val="00186FE1"/>
    <w:rsid w:val="001A5F7E"/>
    <w:rsid w:val="001E683C"/>
    <w:rsid w:val="001F75BA"/>
    <w:rsid w:val="002072DA"/>
    <w:rsid w:val="002337A6"/>
    <w:rsid w:val="002363F5"/>
    <w:rsid w:val="00240386"/>
    <w:rsid w:val="002454C3"/>
    <w:rsid w:val="0024676D"/>
    <w:rsid w:val="00261F95"/>
    <w:rsid w:val="0027315C"/>
    <w:rsid w:val="002B72FF"/>
    <w:rsid w:val="002D4EC3"/>
    <w:rsid w:val="002E3C53"/>
    <w:rsid w:val="002E562B"/>
    <w:rsid w:val="002F6A88"/>
    <w:rsid w:val="00301662"/>
    <w:rsid w:val="00303828"/>
    <w:rsid w:val="00321E31"/>
    <w:rsid w:val="0035088E"/>
    <w:rsid w:val="00356F14"/>
    <w:rsid w:val="0036146D"/>
    <w:rsid w:val="00370399"/>
    <w:rsid w:val="003A6E1C"/>
    <w:rsid w:val="003C07AF"/>
    <w:rsid w:val="003C203C"/>
    <w:rsid w:val="003C5BEB"/>
    <w:rsid w:val="003D019F"/>
    <w:rsid w:val="003D3EE7"/>
    <w:rsid w:val="003E0EC4"/>
    <w:rsid w:val="003E6F4A"/>
    <w:rsid w:val="00405187"/>
    <w:rsid w:val="0043519D"/>
    <w:rsid w:val="00487467"/>
    <w:rsid w:val="004A608E"/>
    <w:rsid w:val="004A7E69"/>
    <w:rsid w:val="004B2BB1"/>
    <w:rsid w:val="004E35DE"/>
    <w:rsid w:val="004E45CF"/>
    <w:rsid w:val="004F0E06"/>
    <w:rsid w:val="004F7970"/>
    <w:rsid w:val="00506565"/>
    <w:rsid w:val="0052785B"/>
    <w:rsid w:val="005324B5"/>
    <w:rsid w:val="00533432"/>
    <w:rsid w:val="005547F8"/>
    <w:rsid w:val="0057258A"/>
    <w:rsid w:val="00590540"/>
    <w:rsid w:val="005B211A"/>
    <w:rsid w:val="005C06B4"/>
    <w:rsid w:val="005C2158"/>
    <w:rsid w:val="005C7AB6"/>
    <w:rsid w:val="005D3C0A"/>
    <w:rsid w:val="005E3887"/>
    <w:rsid w:val="005E5F27"/>
    <w:rsid w:val="00660469"/>
    <w:rsid w:val="00663320"/>
    <w:rsid w:val="0067736E"/>
    <w:rsid w:val="00694C59"/>
    <w:rsid w:val="006B52BA"/>
    <w:rsid w:val="006B5354"/>
    <w:rsid w:val="006C0E5F"/>
    <w:rsid w:val="006D143C"/>
    <w:rsid w:val="006D7EA8"/>
    <w:rsid w:val="00765413"/>
    <w:rsid w:val="00780FEB"/>
    <w:rsid w:val="0079458B"/>
    <w:rsid w:val="007A384F"/>
    <w:rsid w:val="0082222C"/>
    <w:rsid w:val="00824418"/>
    <w:rsid w:val="008874DA"/>
    <w:rsid w:val="008B0E63"/>
    <w:rsid w:val="008C03DE"/>
    <w:rsid w:val="008E3A2D"/>
    <w:rsid w:val="008E6219"/>
    <w:rsid w:val="0092294C"/>
    <w:rsid w:val="00961CFB"/>
    <w:rsid w:val="009741C0"/>
    <w:rsid w:val="00994D50"/>
    <w:rsid w:val="0099668E"/>
    <w:rsid w:val="00A11FE6"/>
    <w:rsid w:val="00A36E1B"/>
    <w:rsid w:val="00A640E9"/>
    <w:rsid w:val="00A702B0"/>
    <w:rsid w:val="00A73114"/>
    <w:rsid w:val="00A77842"/>
    <w:rsid w:val="00A822CF"/>
    <w:rsid w:val="00AA1B99"/>
    <w:rsid w:val="00AC2808"/>
    <w:rsid w:val="00AD1F1D"/>
    <w:rsid w:val="00B1174A"/>
    <w:rsid w:val="00B37606"/>
    <w:rsid w:val="00B81C1D"/>
    <w:rsid w:val="00B86A97"/>
    <w:rsid w:val="00B90698"/>
    <w:rsid w:val="00B96F5E"/>
    <w:rsid w:val="00BA3171"/>
    <w:rsid w:val="00BA3C1B"/>
    <w:rsid w:val="00BB00D9"/>
    <w:rsid w:val="00BB4A19"/>
    <w:rsid w:val="00C14B6D"/>
    <w:rsid w:val="00C1510B"/>
    <w:rsid w:val="00C2277A"/>
    <w:rsid w:val="00C37ECC"/>
    <w:rsid w:val="00C411A0"/>
    <w:rsid w:val="00C41585"/>
    <w:rsid w:val="00C53DD8"/>
    <w:rsid w:val="00C70BB4"/>
    <w:rsid w:val="00C7378E"/>
    <w:rsid w:val="00CA0C79"/>
    <w:rsid w:val="00CB20F4"/>
    <w:rsid w:val="00CB3CDE"/>
    <w:rsid w:val="00CC78CB"/>
    <w:rsid w:val="00CD1709"/>
    <w:rsid w:val="00CD56B9"/>
    <w:rsid w:val="00CF2600"/>
    <w:rsid w:val="00CF4A61"/>
    <w:rsid w:val="00D02003"/>
    <w:rsid w:val="00D7030F"/>
    <w:rsid w:val="00DA75E1"/>
    <w:rsid w:val="00DB11E6"/>
    <w:rsid w:val="00DB3E85"/>
    <w:rsid w:val="00DB58F2"/>
    <w:rsid w:val="00DC69E8"/>
    <w:rsid w:val="00E31DB3"/>
    <w:rsid w:val="00E440DF"/>
    <w:rsid w:val="00E537A3"/>
    <w:rsid w:val="00E73490"/>
    <w:rsid w:val="00E92EB1"/>
    <w:rsid w:val="00EA1804"/>
    <w:rsid w:val="00EA23C6"/>
    <w:rsid w:val="00EF5CE3"/>
    <w:rsid w:val="00EF79C4"/>
    <w:rsid w:val="00F7479D"/>
    <w:rsid w:val="00F8727A"/>
    <w:rsid w:val="00F91D87"/>
    <w:rsid w:val="00FA442E"/>
    <w:rsid w:val="00FD05D8"/>
    <w:rsid w:val="00FD56D4"/>
    <w:rsid w:val="00FD59F0"/>
    <w:rsid w:val="00FF2AD7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FDBA-0E85-4ED4-B49B-6942F6FC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79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94C5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4C59"/>
    <w:rPr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4C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A57D2-A0BF-4F73-B31C-2DF8CCDF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8621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6</cp:revision>
  <dcterms:created xsi:type="dcterms:W3CDTF">2015-04-21T19:03:00Z</dcterms:created>
  <dcterms:modified xsi:type="dcterms:W3CDTF">2015-05-08T22:46:00Z</dcterms:modified>
</cp:coreProperties>
</file>