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F44264" w14:paraId="3E5A7789" wp14:textId="35784AB6">
      <w:pPr>
        <w:pStyle w:val="Heading1"/>
        <w:jc w:val="center"/>
      </w:pPr>
      <w:bookmarkStart w:name="_GoBack" w:id="0"/>
      <w:bookmarkEnd w:id="0"/>
      <w:r w:rsidR="35784AB6">
        <w:rPr/>
        <w:t>Markt und Branchen für Venture Capital</w:t>
      </w:r>
    </w:p>
    <w:p w:rsidR="73F44264" w:rsidP="73F44264" w:rsidRDefault="73F44264" w14:noSpellErr="1" w14:paraId="5C192843" w14:textId="73B4F898">
      <w:pPr>
        <w:pStyle w:val="Normal"/>
      </w:pPr>
    </w:p>
    <w:p w:rsidR="73F44264" w:rsidP="73F44264" w:rsidRDefault="73F44264" w14:noSpellErr="1" w14:paraId="45013421" w14:textId="7B6A2839">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73F44264">
        <w:rPr/>
        <w:t xml:space="preserve">im Venture Capital Bereich hat sich der Schwerpunkt von zuerst Hardware in der Informations- und Telekommunikationstechnik auf Software und Internet-basierte Dienste verlagert </w:t>
      </w:r>
      <w:r w:rsidRPr="73F44264" w:rsidR="73F44264">
        <w:rPr>
          <w:color w:val="7030A0"/>
        </w:rPr>
        <w:t>[Röhl 2014, S.3</w:t>
      </w:r>
      <w:r w:rsidRPr="73F44264" w:rsidR="73F44264">
        <w:rPr>
          <w:color w:val="7030A0"/>
        </w:rPr>
        <w:t>]</w:t>
      </w:r>
      <w:r w:rsidR="73F44264">
        <w:rPr/>
        <w:t xml:space="preserve"> </w:t>
      </w:r>
      <w:r w:rsidRPr="73F44264" w:rsidR="73F44264">
        <w:rPr>
          <w:i w:val="1"/>
          <w:iCs w:val="1"/>
          <w:color w:val="BF8F00" w:themeColor="accent4" w:themeTint="FF" w:themeShade="BF"/>
        </w:rPr>
        <w:t>(Zahlen - Statistiken)</w:t>
      </w:r>
    </w:p>
    <w:p w:rsidR="73F44264" w:rsidP="73F44264" w:rsidRDefault="73F44264" w14:noSpellErr="1" w14:paraId="2FF65D24" w14:textId="6C255F0D">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73F44264" w:rsidR="73F44264">
        <w:rPr>
          <w:i w:val="0"/>
          <w:iCs w:val="0"/>
          <w:color w:val="auto"/>
        </w:rPr>
        <w:t xml:space="preserve">die wichtigsten Branchen für Venture Capital sind neben dem IKT-Sektor, Software &amp; Internetdienste die Biotech-Branche </w:t>
      </w:r>
      <w:r w:rsidRPr="73F44264" w:rsidR="73F44264">
        <w:rPr>
          <w:color w:val="7030A0"/>
        </w:rPr>
        <w:t>[Röhl 2014, S.</w:t>
      </w:r>
      <w:r w:rsidRPr="73F44264" w:rsidR="73F44264">
        <w:rPr>
          <w:color w:val="7030A0"/>
        </w:rPr>
        <w:t>6</w:t>
      </w:r>
      <w:r w:rsidRPr="73F44264" w:rsidR="73F44264">
        <w:rPr>
          <w:color w:val="7030A0"/>
        </w:rPr>
        <w:t>]</w:t>
      </w:r>
    </w:p>
    <w:p w:rsidR="73F44264" w:rsidP="73F44264" w:rsidRDefault="73F44264" w14:noSpellErr="1" w14:paraId="354E93DF" w14:textId="71156DDE">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73F44264" w:rsidR="73F44264">
        <w:rPr>
          <w:i w:val="0"/>
          <w:iCs w:val="0"/>
          <w:color w:val="auto"/>
        </w:rPr>
        <w:t>die Mehrzahl der seit dem Jahre 2005 in Deutschland aufgelegten Venture-Capital Fonds wurde zu einem beträchtlichen Anteil durch öffentliche Investoren (Landesbanken, öffentliche Investitionsbanken) finanziert und mehr als die Hälfte des Risikokapitals stammte aus öffentlichen Quellen (Welche Auswirkungen hat die starke Beteiligung der öffentlichen Hand am Venture Capital Sektor?</w:t>
      </w:r>
      <w:r w:rsidRPr="73F44264" w:rsidR="73F44264">
        <w:rPr>
          <w:i w:val="0"/>
          <w:iCs w:val="0"/>
          <w:color w:val="auto"/>
        </w:rPr>
        <w:t>)</w:t>
      </w:r>
    </w:p>
    <w:p w:rsidR="73F44264" w:rsidP="73F44264" w:rsidRDefault="73F44264" w14:noSpellErr="1" w14:paraId="401CDFA5" w14:textId="76BD9CEB">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73F44264" w:rsidR="73F44264">
        <w:rPr>
          <w:i w:val="0"/>
          <w:iCs w:val="0"/>
          <w:color w:val="auto"/>
        </w:rPr>
        <w:t xml:space="preserve">aufgrund der föderalen Struktur der Bundesrepublik Deutschland gibt es keine einheitliche Strategie zur Förderung einerseits des Sektors und zudem der Gründungsförderung im weiteren Sinne </w:t>
      </w:r>
    </w:p>
    <w:p w:rsidR="73F44264" w:rsidP="73F44264" w:rsidRDefault="73F44264" w14:noSpellErr="1" w14:paraId="3EBA73F7" w14:textId="7BC3B4E2">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73F44264" w:rsidR="73F44264">
        <w:rPr>
          <w:i w:val="0"/>
          <w:iCs w:val="0"/>
          <w:color w:val="auto"/>
        </w:rPr>
        <w:t>von Bundesländern geförderte Venture-Capital Fonds sind sehr stark regional ausgerichtet, was ihre Auswahl an erfolgsversprechenden Investitionsprojekten einschränkt</w:t>
      </w:r>
    </w:p>
    <w:p w:rsidR="73F44264" w:rsidP="73F44264" w:rsidRDefault="73F44264" w14:paraId="5F8E80C8" w14:textId="0FCBCF91">
      <w:pPr>
        <w:pStyle w:val="Normal"/>
        <w:ind w:firstLine="708"/>
        <w:jc w:val="both"/>
      </w:pPr>
      <w:r w:rsidRPr="73F44264" w:rsidR="73F44264">
        <w:rPr>
          <w:b w:val="0"/>
          <w:bCs w:val="0"/>
          <w:i w:val="1"/>
          <w:iCs w:val="1"/>
          <w:color w:val="2F5496" w:themeColor="accent5" w:themeTint="FF" w:themeShade="BF"/>
        </w:rPr>
        <w:t xml:space="preserve">&gt; die regionale Ausrichtung reduziert die Wirksamkeit der </w:t>
      </w:r>
    </w:p>
    <w:p w:rsidR="73F44264" w:rsidP="73F44264" w:rsidRDefault="73F44264" w14:noSpellErr="1" w14:paraId="7715411D" w14:textId="2D44F4D3">
      <w:pPr>
        <w:pStyle w:val="Normal"/>
        <w:ind w:left="708" w:firstLine="0"/>
        <w:jc w:val="both"/>
      </w:pPr>
      <w:r w:rsidRPr="73F44264" w:rsidR="73F44264">
        <w:rPr>
          <w:b w:val="0"/>
          <w:bCs w:val="0"/>
          <w:i w:val="1"/>
          <w:iCs w:val="1"/>
          <w:color w:val="2F5496" w:themeColor="accent5" w:themeTint="FF" w:themeShade="BF"/>
        </w:rPr>
        <w:t>Gründungsfinanzierung</w:t>
      </w:r>
    </w:p>
    <w:p w:rsidR="73F44264" w:rsidP="73F44264" w:rsidRDefault="73F44264" w14:paraId="5F68CE96" w14:textId="773FE136">
      <w:pPr>
        <w:pStyle w:val="Normal"/>
        <w:ind w:firstLine="708"/>
        <w:jc w:val="both"/>
      </w:pPr>
      <w:r w:rsidRPr="73F44264" w:rsidR="73F44264">
        <w:rPr>
          <w:b w:val="0"/>
          <w:bCs w:val="0"/>
          <w:i w:val="1"/>
          <w:iCs w:val="1"/>
          <w:color w:val="2F5496" w:themeColor="accent5" w:themeTint="FF" w:themeShade="BF"/>
        </w:rPr>
        <w:t xml:space="preserve">&gt; öffentliches Risikokapital ist aus politischen Erwägung der </w:t>
      </w:r>
    </w:p>
    <w:p w:rsidR="73F44264" w:rsidP="73F44264" w:rsidRDefault="73F44264" w14:noSpellErr="1" w14:paraId="35BAA03C" w14:textId="0FCD4E5E">
      <w:pPr>
        <w:pStyle w:val="Normal"/>
        <w:ind w:firstLine="708"/>
        <w:jc w:val="both"/>
      </w:pPr>
      <w:r w:rsidRPr="73F44264" w:rsidR="73F44264">
        <w:rPr>
          <w:b w:val="0"/>
          <w:bCs w:val="0"/>
          <w:i w:val="1"/>
          <w:iCs w:val="1"/>
          <w:color w:val="2F5496" w:themeColor="accent5" w:themeTint="FF" w:themeShade="BF"/>
        </w:rPr>
        <w:t xml:space="preserve">Strukturförderung auf strukturschwache Regionen ausgerichtet, so dass </w:t>
      </w:r>
    </w:p>
    <w:p w:rsidR="73F44264" w:rsidP="73F44264" w:rsidRDefault="73F44264" w14:noSpellErr="1" w14:paraId="593FD672" w14:textId="533A4B96">
      <w:pPr>
        <w:pStyle w:val="Normal"/>
        <w:ind w:firstLine="708"/>
        <w:jc w:val="both"/>
      </w:pPr>
      <w:r w:rsidRPr="73F44264" w:rsidR="73F44264">
        <w:rPr>
          <w:b w:val="0"/>
          <w:bCs w:val="0"/>
          <w:i w:val="1"/>
          <w:iCs w:val="1"/>
          <w:color w:val="2F5496" w:themeColor="accent5" w:themeTint="FF" w:themeShade="BF"/>
        </w:rPr>
        <w:t>potentielle Netzwerkeffekte nicht genutzt werden</w:t>
      </w:r>
      <w:r w:rsidRPr="73F44264" w:rsidR="73F44264">
        <w:rPr>
          <w:b w:val="0"/>
          <w:bCs w:val="0"/>
          <w:i w:val="1"/>
          <w:iCs w:val="1"/>
          <w:color w:val="2F5496" w:themeColor="accent5" w:themeTint="FF" w:themeShade="BF"/>
        </w:rPr>
        <w:t xml:space="preserve"> </w:t>
      </w:r>
    </w:p>
    <w:p w:rsidR="73F44264" w:rsidP="73F44264" w:rsidRDefault="73F44264" w14:noSpellErr="1" w14:paraId="234437A0" w14:textId="7324B999">
      <w:pPr>
        <w:pStyle w:val="Normal"/>
        <w:ind w:firstLine="708"/>
        <w:jc w:val="both"/>
      </w:pPr>
    </w:p>
    <w:p w:rsidR="73F44264" w:rsidP="73F44264" w:rsidRDefault="73F44264" w14:paraId="02D2CF1E" w14:textId="7A758CD2">
      <w:pPr>
        <w:pStyle w:val="ListParagraph"/>
        <w:numPr>
          <w:ilvl w:val="0"/>
          <w:numId w:val="1"/>
        </w:numPr>
        <w:jc w:val="both"/>
        <w:rPr>
          <w:rFonts w:ascii="Calibri" w:hAnsi="Calibri" w:eastAsia="Calibri" w:cs="Calibri" w:asciiTheme="minorAscii" w:hAnsiTheme="minorAscii" w:eastAsiaTheme="minorAscii" w:cstheme="minorAscii"/>
          <w:color w:val="auto"/>
          <w:sz w:val="22"/>
          <w:szCs w:val="22"/>
        </w:rPr>
      </w:pPr>
      <w:r w:rsidRPr="73F44264" w:rsidR="73F44264">
        <w:rPr>
          <w:i w:val="0"/>
          <w:iCs w:val="0"/>
          <w:color w:val="auto"/>
        </w:rPr>
        <w:t xml:space="preserve">mit öffentlichen Mitteln gestützte Venture-Capital Fonds sind meist sehr klein und sind in erster Linie in der Seed-Finanzierung tätig, ohne jedoch eine klare technologische Ausrichtung in ihren Investitionsentscheidungen zu haben </w:t>
      </w:r>
      <w:r w:rsidRPr="73F44264" w:rsidR="73F44264">
        <w:rPr>
          <w:color w:val="7030A0"/>
        </w:rPr>
        <w:t>[Röhl 2014, S.7</w:t>
      </w:r>
      <w:r w:rsidRPr="73F44264" w:rsidR="73F44264">
        <w:rPr>
          <w:color w:val="7030A0"/>
        </w:rPr>
        <w:t>]</w:t>
      </w:r>
    </w:p>
    <w:p w:rsidR="73F44264" w:rsidP="73F44264" w:rsidRDefault="73F44264" w14:noSpellErr="1" w14:paraId="06A19E29" w14:textId="0B4026B1">
      <w:pPr>
        <w:pStyle w:val="ListParagraph"/>
        <w:numPr>
          <w:ilvl w:val="0"/>
          <w:numId w:val="1"/>
        </w:numPr>
        <w:jc w:val="both"/>
        <w:rPr>
          <w:rFonts w:ascii="Calibri" w:hAnsi="Calibri" w:eastAsia="Calibri" w:cs="Calibri" w:asciiTheme="minorAscii" w:hAnsiTheme="minorAscii" w:eastAsiaTheme="minorAscii" w:cstheme="minorAscii"/>
          <w:color w:val="auto"/>
          <w:sz w:val="22"/>
          <w:szCs w:val="22"/>
        </w:rPr>
      </w:pPr>
      <w:r w:rsidR="73F44264">
        <w:rPr/>
        <w:t>oft bleibt die notwendige Anschlussfinanzierung aus</w:t>
      </w:r>
    </w:p>
    <w:p w:rsidR="73F44264" w:rsidP="73F44264" w:rsidRDefault="73F44264" w14:noSpellErr="1" w14:paraId="7D964DAB" w14:textId="21B0561F">
      <w:pPr>
        <w:pStyle w:val="Normal"/>
        <w:jc w:val="both"/>
      </w:pPr>
    </w:p>
    <w:p w:rsidR="73F44264" w:rsidP="73F44264" w:rsidRDefault="73F44264" w14:noSpellErr="1" w14:paraId="78973309" w14:textId="70835B0E">
      <w:pPr>
        <w:pStyle w:val="Normal"/>
        <w:jc w:val="both"/>
      </w:pPr>
    </w:p>
    <w:p w:rsidR="73F44264" w:rsidP="73F44264" w:rsidRDefault="73F44264" w14:noSpellErr="1" w14:paraId="46EFEAA7" w14:textId="69EF2D57">
      <w:pPr>
        <w:pStyle w:val="Normal"/>
        <w:jc w:val="both"/>
      </w:pPr>
    </w:p>
    <w:p w:rsidR="73F44264" w:rsidP="73F44264" w:rsidRDefault="73F44264" w14:noSpellErr="1" w14:paraId="32A9C761" w14:textId="1576D3EA">
      <w:pPr>
        <w:pStyle w:val="Normal"/>
        <w:jc w:val="both"/>
      </w:pPr>
    </w:p>
    <w:p w:rsidR="73F44264" w:rsidP="73F44264" w:rsidRDefault="73F44264" w14:noSpellErr="1" w14:paraId="2A7334F5" w14:textId="4E8A6A29">
      <w:pPr>
        <w:pStyle w:val="Normal"/>
        <w:jc w:val="both"/>
      </w:pPr>
    </w:p>
    <w:p w:rsidR="73F44264" w:rsidP="73F44264" w:rsidRDefault="73F44264" w14:noSpellErr="1" w14:paraId="1E308627" w14:textId="081FBEA9">
      <w:pPr>
        <w:pStyle w:val="Normal"/>
        <w:jc w:val="both"/>
      </w:pPr>
    </w:p>
    <w:p w:rsidR="73F44264" w:rsidP="73F44264" w:rsidRDefault="73F44264" w14:noSpellErr="1" w14:paraId="73185136" w14:textId="27185BE7">
      <w:pPr>
        <w:pStyle w:val="Normal"/>
        <w:jc w:val="both"/>
      </w:pPr>
    </w:p>
    <w:p w:rsidR="73F44264" w:rsidP="73F44264" w:rsidRDefault="73F44264" w14:noSpellErr="1" w14:paraId="3C2E77EA" w14:textId="669687F3">
      <w:pPr>
        <w:pStyle w:val="Normal"/>
        <w:jc w:val="both"/>
      </w:pPr>
    </w:p>
    <w:p w:rsidR="73F44264" w:rsidP="73F44264" w:rsidRDefault="73F44264" w14:noSpellErr="1" w14:paraId="2E6AB131" w14:textId="2E1DC7E4">
      <w:pPr>
        <w:pStyle w:val="Normal"/>
        <w:jc w:val="both"/>
      </w:pPr>
    </w:p>
    <w:p w:rsidR="73F44264" w:rsidRDefault="73F44264" w14:noSpellErr="1" w14:paraId="53C0CF79" w14:textId="0138F670">
      <w:r>
        <w:br w:type="page"/>
      </w:r>
    </w:p>
    <w:p w:rsidR="73F44264" w:rsidP="73F44264" w:rsidRDefault="73F44264" w14:noSpellErr="1" w14:paraId="253CBA60" w14:textId="61695E57">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73F44264" w:rsidR="73F44264">
        <w:rPr>
          <w:i w:val="1"/>
          <w:iCs w:val="1"/>
        </w:rPr>
        <w:t>Business Angels</w:t>
      </w:r>
      <w:r w:rsidR="73F44264">
        <w:rPr/>
        <w:t xml:space="preserve"> unterscheiden sich vielfach von anderen Kapitalgebern, indem sie die neu gegründeten Unternehmen oft langfristig und stellen als Berater ihr Expertenwissen zur Verfügung </w:t>
      </w:r>
    </w:p>
    <w:p w:rsidR="73F44264" w:rsidP="73F44264" w:rsidRDefault="73F44264" w14:paraId="604B3BD5" w14:noSpellErr="1" w14:textId="5491E4EB">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6DDE575A">
        <w:rPr/>
        <w:t xml:space="preserve">in Deutschland stellt nach Röhl die Begrenzung von Verlustvorträgen und ihre Verrechnung mit Gewinnung im Steuerrecht eine großes Hindernis für den Venture-Capital Markt dar, da </w:t>
      </w:r>
      <w:r w:rsidR="6DDE575A">
        <w:rPr/>
        <w:t xml:space="preserve">Investoren in den meisten Fällen </w:t>
      </w:r>
      <w:r w:rsidR="6DDE575A">
        <w:rPr/>
        <w:t xml:space="preserve">mit einem Totalverlust ihrer </w:t>
      </w:r>
      <w:r w:rsidR="6DDE575A">
        <w:rPr/>
        <w:t>Investi</w:t>
      </w:r>
      <w:r w:rsidR="6DDE575A">
        <w:rPr/>
        <w:t>ti</w:t>
      </w:r>
      <w:r w:rsidR="6DDE575A">
        <w:rPr/>
        <w:t>onen</w:t>
      </w:r>
      <w:r w:rsidR="6DDE575A">
        <w:rPr/>
        <w:t xml:space="preserve"> rechnen müssen</w:t>
      </w:r>
    </w:p>
    <w:p w:rsidR="6DDE575A" w:rsidP="6DDE575A" w:rsidRDefault="6DDE575A" w14:paraId="56B374BF" w14:textId="2CC9B8D9">
      <w:pPr>
        <w:pStyle w:val="Normal"/>
        <w:ind w:firstLine="708"/>
        <w:jc w:val="both"/>
      </w:pPr>
      <w:r w:rsidRPr="6DDE575A" w:rsidR="6DDE575A">
        <w:rPr>
          <w:color w:val="2E74B5" w:themeColor="accent1" w:themeTint="FF" w:themeShade="BF"/>
        </w:rPr>
        <w:t xml:space="preserve">&gt; Kapitelerhöhungen durch Venture-Capital - Fonds resultiert bei den </w:t>
      </w:r>
    </w:p>
    <w:p w:rsidR="6DDE575A" w:rsidP="6DDE575A" w:rsidRDefault="6DDE575A" w14:paraId="3CD2B4A9" w14:textId="00A54040">
      <w:pPr>
        <w:pStyle w:val="Normal"/>
        <w:ind w:firstLine="708"/>
        <w:jc w:val="both"/>
      </w:pPr>
      <w:r w:rsidRPr="6DDE575A" w:rsidR="6DDE575A">
        <w:rPr>
          <w:color w:val="2E74B5" w:themeColor="accent1" w:themeTint="FF" w:themeShade="BF"/>
        </w:rPr>
        <w:t>finanzierten darin, dass ihre Verlustvorträge wegfallen , wodurch Starts-Ups</w:t>
      </w:r>
    </w:p>
    <w:p w:rsidR="6DDE575A" w:rsidP="6DDE575A" w:rsidRDefault="6DDE575A" w14:noSpellErr="1" w14:paraId="771B1E88" w14:textId="729F42A3">
      <w:pPr>
        <w:pStyle w:val="Normal"/>
        <w:ind w:firstLine="708"/>
        <w:jc w:val="both"/>
      </w:pPr>
      <w:r w:rsidRPr="6DDE575A" w:rsidR="6DDE575A">
        <w:rPr>
          <w:color w:val="2E74B5" w:themeColor="accent1" w:themeTint="FF" w:themeShade="BF"/>
        </w:rPr>
        <w:t>steuerlich schlechter gestellt werden als etablierte Unternehmen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6c424-434f-40fe-af99-a18726adfbcd}"/>
  <w14:docId w14:val="2968F516"/>
  <w:rsids>
    <w:rsidRoot w:val="73F44264"/>
    <w:rsid w:val="35784AB6"/>
    <w:rsid w:val="6DDE575A"/>
    <w:rsid w:val="73F442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0262982c4ed48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2015-07-14T12:59:01.9578575Z</dcterms:modified>
  <lastModifiedBy>Honeyman Bernhard</lastModifiedBy>
</coreProperties>
</file>