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Times New Roman CYR" w:hAnsi="Times New Roman CYR" w:cs="Times New Roman CYR"/>
          <w:sz w:val="28"/>
          <w:szCs w:val="28"/>
        </w:rPr>
        <w:t>Обучающая выборка: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object w:dxaOrig="1330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5.3pt;height:213.1pt" o:ole="">
            <v:imagedata r:id="rId4" o:title=""/>
          </v:shape>
          <o:OLEObject Type="Embed" ProgID="STATISTICA.Spreadsheet" ShapeID="_x0000_i1025" DrawAspect="Content" ObjectID="_1604751350" r:id="rId5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object w:dxaOrig="15180" w:dyaOrig="2310">
          <v:shape id="_x0000_i1026" type="#_x0000_t75" style="width:759.1pt;height:115.6pt" o:ole="">
            <v:imagedata r:id="rId6" o:title=""/>
          </v:shape>
          <o:OLEObject Type="Embed" ProgID="STATISTICA.Spreadsheet" ShapeID="_x0000_i1026" DrawAspect="Content" ObjectID="_1604751351" r:id="rId7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Т.к. значение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лямды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Уилкса равное 0,00867 близко к нулю, а по значению статистики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05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 xml:space="preserve">критерия равного 9,7372 с уровнем значимости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0573">
        <w:rPr>
          <w:rFonts w:ascii="Times New Roman" w:hAnsi="Times New Roman" w:cs="Times New Roman"/>
          <w:sz w:val="28"/>
          <w:szCs w:val="28"/>
        </w:rPr>
        <w:t>&lt;0,0021 (</w:t>
      </w:r>
      <w:r>
        <w:rPr>
          <w:rFonts w:ascii="Times New Roman CYR" w:hAnsi="Times New Roman CYR" w:cs="Times New Roman CYR"/>
          <w:sz w:val="28"/>
          <w:szCs w:val="28"/>
        </w:rPr>
        <w:t xml:space="preserve">т.е. нулевая гипотеза о том, что наблюдения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принадлежат одному классу отвергается</w:t>
      </w:r>
      <w:proofErr w:type="gramEnd"/>
      <w:r w:rsidRPr="00D405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, то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анализ возможен и данная классификация обучающих выборок корректна. </w:t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  <w:t xml:space="preserve">Значение толерантности чем ближе к нулю, тем переменная менее информативная и если ее значение меньше порогового значения (обычно </w:t>
      </w:r>
      <w:r w:rsidRPr="00D40573">
        <w:rPr>
          <w:rFonts w:ascii="Times New Roman" w:hAnsi="Times New Roman" w:cs="Times New Roman"/>
          <w:sz w:val="28"/>
          <w:szCs w:val="28"/>
        </w:rPr>
        <w:t>&lt; 0,01)</w:t>
      </w:r>
      <w:r>
        <w:rPr>
          <w:rFonts w:ascii="Times New Roman CYR" w:hAnsi="Times New Roman CYR" w:cs="Times New Roman CYR"/>
          <w:sz w:val="28"/>
          <w:szCs w:val="28"/>
        </w:rPr>
        <w:t xml:space="preserve">, то ее исключают из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модели. Заметим, что толерантность выше у переменных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Расх_на_здрав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Смертность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следовательно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эти переменные более информативны.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 другой стороны, с</w:t>
      </w:r>
      <w:r>
        <w:rPr>
          <w:rFonts w:ascii="Times New Roman CYR" w:hAnsi="Times New Roman CYR" w:cs="Times New Roman CYR"/>
          <w:sz w:val="28"/>
          <w:szCs w:val="28"/>
        </w:rPr>
        <w:t xml:space="preserve">амое большое значение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лямба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уилкса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у переменной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ВНП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 xml:space="preserve">, а после нее у переменной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Кол_чел_на_1врача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значит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следует оставить эти переменные в процедуре дискриминации. Значение частной лямбды наоборот самое маленькое у переменной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ВНП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значит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эта переменная несет наибольший вклад в общую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дискриминацию. А после нее наибольший вклад в общую дискриминацию несет переменная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Кол_чел_на_1врача.</w:t>
      </w:r>
      <w:r>
        <w:rPr>
          <w:rFonts w:ascii="Times New Roman CYR" w:hAnsi="Times New Roman CYR" w:cs="Times New Roman CYR"/>
          <w:sz w:val="28"/>
          <w:szCs w:val="28"/>
        </w:rPr>
        <w:t xml:space="preserve"> Поэтому на данном этапе дискриминации можно заключить, что уровень ВВП и количество человек на 1 врача являются главными переменными (они выделены красным), которые позволяют производить дискриминацию по уровню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стран.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получения дальнейших результатов о природе дискриминации проведем канонический анализ.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Таблица результатов с пошаговым критерием для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функций (канонических корней):</w:t>
      </w:r>
      <w:r>
        <w:rPr>
          <w:rFonts w:ascii="Courier New CYR" w:hAnsi="Courier New CYR" w:cs="Courier New CYR"/>
          <w:sz w:val="18"/>
          <w:szCs w:val="18"/>
        </w:rPr>
        <w:object w:dxaOrig="11010" w:dyaOrig="1320">
          <v:shape id="_x0000_i1027" type="#_x0000_t75" style="width:550.5pt;height:65.85pt" o:ole="">
            <v:imagedata r:id="rId8" o:title=""/>
          </v:shape>
          <o:OLEObject Type="Embed" ProgID="STATISTICA.Spreadsheet" ShapeID="_x0000_i1027" DrawAspect="Content" ObjectID="_1604751352" r:id="rId9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Первый столбец-количество удаленных корней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функций). Первая строка дает критерий значимости для всех корней. Т.к. уровень значимости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меньше чем 0,05, то можно сделать вывод, что есть хотя бы один канонический корень, который является статистически значимым. Вторая строка характеризует значимость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значимость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корней, оставшихся после удаления первого корня. Т.к.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больше чем 0,05, то это означает, что нет канонических корней, которые являлись бы статистически значимыми. Т.е. один корень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дискриминантная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функция) статистически значима.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Стандартизированные переменные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функций характеризуют направление и вклад переменных в значения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функций.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Стандартизованные коэффициенты полезно применять для уменьшения размерности исходного признакового пространства переменных. Если абсолютная величина коэффициента для данной переменной для всех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функций мала, то эту переменную можно исключить, тем самым сократив число переменных. 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Courier New CYR" w:hAnsi="Courier New CYR" w:cs="Courier New CYR"/>
          <w:sz w:val="18"/>
          <w:szCs w:val="18"/>
        </w:rPr>
        <w:object w:dxaOrig="5760" w:dyaOrig="2340">
          <v:shape id="_x0000_i1028" type="#_x0000_t75" style="width:4in;height:116.85pt" o:ole="">
            <v:imagedata r:id="rId10" o:title=""/>
          </v:shape>
          <o:OLEObject Type="Embed" ProgID="STATISTICA.Spreadsheet" ShapeID="_x0000_i1028" DrawAspect="Content" ObjectID="_1604751353" r:id="rId11"/>
        </w:objec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Из таблицы видно, что в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дискриминантную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функцию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1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. 1) наибольший вклад вносят переменные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Кол_чел_на_1врача </w:t>
      </w:r>
      <w:r>
        <w:rPr>
          <w:rFonts w:ascii="Times New Roman CYR" w:hAnsi="Times New Roman CYR" w:cs="Times New Roman CYR"/>
          <w:sz w:val="28"/>
          <w:szCs w:val="28"/>
        </w:rPr>
        <w:t xml:space="preserve">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ВВП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дискриминантную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функцию2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. 2) наибольший вклад вносит переменная 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Расх_на_здрав</w:t>
      </w:r>
      <w:proofErr w:type="spellEnd"/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.</w:t>
      </w:r>
      <w:proofErr w:type="gramEnd"/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В таблице также приведены собственные значения для каждой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дискриминантной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функции и кумулятивная доля объясненной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дисперсиию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накопленной каждой функцией. Из таблицы следует, что функция 1 ответственна за 99,9 % объясненной дисперсии, т.е. 99,9 % всей дискриминирующей мощности объясняется этой функцией. Поэтому она самая важная. И только за 0,1% объясненной дисперсии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ответственна функция 2. </w:t>
      </w: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Courier New CYR" w:hAnsi="Courier New CYR" w:cs="Courier New CYR"/>
          <w:sz w:val="18"/>
          <w:szCs w:val="18"/>
        </w:rPr>
        <w:object w:dxaOrig="5760" w:dyaOrig="1335">
          <v:shape id="_x0000_i1029" type="#_x0000_t75" style="width:4in;height:66.65pt" o:ole="">
            <v:imagedata r:id="rId12" o:title=""/>
          </v:shape>
          <o:OLEObject Type="Embed" ProgID="STATISTICA.Spreadsheet" ShapeID="_x0000_i1029" DrawAspect="Content" ObjectID="_1604751354" r:id="rId13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Данная таблица средних для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функций позволяет определить группы, лучше всего идентифицируемые конкретной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функцией. Функция идентифицирует в основном группы "низкий" и "высокий", т.к. им соответствуют наибольшие значения функции 1. Функция 2 - группы "удовлетворительный" и "высокий" уровни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Результаты разделения наблюдений по группам рассмотрим на диаграмме рассеивания.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object w:dxaOrig="9360" w:dyaOrig="7020">
          <v:shape id="_x0000_i1030" type="#_x0000_t75" style="width:468.2pt;height:350.95pt" o:ole="">
            <v:imagedata r:id="rId14" o:title=""/>
          </v:shape>
          <o:OLEObject Type="Embed" ProgID="STATISTICA.Graph" ShapeID="_x0000_i1030" DrawAspect="Content" ObjectID="_1604751355" r:id="rId15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При этом группы "низкий" и "высокий" наиболее отдалены друг от друга, т.к. показателям в этих группах соответствуют большие значения корня 1 (Кор.1), т.е.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дискриминантная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функция 1 наилучшим образом дискриминирует показатели между этими группами.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autoSpaceDE w:val="0"/>
        <w:autoSpaceDN w:val="0"/>
        <w:bidi/>
        <w:adjustRightInd w:val="0"/>
        <w:spacing w:after="0" w:line="240" w:lineRule="auto"/>
        <w:ind w:firstLine="567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object w:dxaOrig="11190" w:dyaOrig="2565">
          <v:shape id="_x0000_i1031" type="#_x0000_t75" style="width:559.55pt;height:128.35pt" o:ole="">
            <v:imagedata r:id="rId16" o:title=""/>
          </v:shape>
          <o:OLEObject Type="Embed" ProgID="STATISTICA.Spreadsheet" ShapeID="_x0000_i1031" DrawAspect="Content" ObjectID="_1604751356" r:id="rId17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 классификационной матрицы можно сделать вывод, что объекты (страны) были правильно отнесены экспертным способом к выделенным группам.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 вдруг страны неправильно отнесены к соответствующим группам, то это можно увидеть в таблице классификации случаев: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18"/>
          <w:szCs w:val="18"/>
        </w:rPr>
        <w:object w:dxaOrig="14985" w:dyaOrig="3600">
          <v:shape id="_x0000_i1032" type="#_x0000_t75" style="width:749.2pt;height:180.2pt" o:ole="">
            <v:imagedata r:id="rId18" o:title=""/>
          </v:shape>
          <o:OLEObject Type="Embed" ProgID="STATISTICA.Spreadsheet" ShapeID="_x0000_i1032" DrawAspect="Content" ObjectID="_1604751357" r:id="rId19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Как видно из таблицы нет объектов помеченных *, т.е. нет некорректно 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отнесенных стран к соответствующим группам. Это подтверждает и ниже приведенная таблица квадратов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растояний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Махаланобиса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до центров тяжести соответствующих групп. Отнесение всех объектов (стран) в определенную группу развития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является правильным (корректным), т.к. расстояния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Махаланобиса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от объектов до центров групп, куда они были отнесены экспертом, значительно ниже, чем от них до центров других групп,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более того апостериорные вероятности попадания в свои группы выше критических значений.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Courier New CYR" w:hAnsi="Courier New CYR" w:cs="Courier New CYR"/>
          <w:sz w:val="18"/>
          <w:szCs w:val="18"/>
        </w:rPr>
        <w:object w:dxaOrig="11580" w:dyaOrig="3840">
          <v:shape id="_x0000_i1033" type="#_x0000_t75" style="width:578.9pt;height:192.15pt" o:ole="">
            <v:imagedata r:id="rId20" o:title=""/>
          </v:shape>
          <o:OLEObject Type="Embed" ProgID="STATISTICA.Spreadsheet" ShapeID="_x0000_i1033" DrawAspect="Content" ObjectID="_1604751358" r:id="rId21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Т.к. наблюдения обучающих выборок правильно отнесены к соответствующим группам, то на их основе можно проводить классификацию тех объектов (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стран-Украина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Молдавия), которые подлежат группировке.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Проведем классификацию объектов (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стран-Украина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 Молдавия) двумя способами и сравним результаты: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 способ: на основе апостериорных вероятностях принадлежности объекта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5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 xml:space="preserve">ой группе, т.е.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страна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приписывается к той группе уровня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которой соответствует наибольшая апостериорная вероятность классификации. Отметим, что прежде чем вычислять апостериорные вероятности необходимо добавить в таблицу скорректированных данных новые случаи.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object w:dxaOrig="4545" w:dyaOrig="4200">
          <v:shape id="_x0000_i1034" type="#_x0000_t75" style="width:227.1pt;height:209.85pt" o:ole="">
            <v:imagedata r:id="rId22" o:title=""/>
          </v:shape>
          <o:OLEObject Type="Embed" ProgID="STATISTICA.Spreadsheet" ShapeID="_x0000_i1034" DrawAspect="Content" ObjectID="_1604751359" r:id="rId23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Получим: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object w:dxaOrig="5760" w:dyaOrig="4320">
          <v:shape id="_x0000_i1035" type="#_x0000_t75" style="width:4in;height:3in" o:ole="">
            <v:imagedata r:id="rId24" o:title=""/>
          </v:shape>
          <o:OLEObject Type="Embed" ProgID="STATISTICA.Spreadsheet" ShapeID="_x0000_i1035" DrawAspect="Content" ObjectID="_1604751360" r:id="rId25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Из таблицы видно, что Молдавия отнесена к группе "низкий", а Украина к группе "удовлетворительный" уровень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т.к. соответствующие апостериорные вероятности классификации наибольшие.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 способ: на основе классификационных функций для каждого класса.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Courier New CYR" w:hAnsi="Courier New CYR" w:cs="Courier New CYR"/>
          <w:sz w:val="18"/>
          <w:szCs w:val="18"/>
        </w:rPr>
        <w:object w:dxaOrig="7605" w:dyaOrig="2325">
          <v:shape id="_x0000_i1036" type="#_x0000_t75" style="width:380.15pt;height:116.45pt" o:ole="">
            <v:imagedata r:id="rId26" o:title=""/>
          </v:shape>
          <o:OLEObject Type="Embed" ProgID="STATISTICA.Spreadsheet" ShapeID="_x0000_i1036" DrawAspect="Content" ObjectID="_1604751361" r:id="rId27"/>
        </w:objec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основе данных в таблице выпишем классификационные функции: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sz w:val="28"/>
          <w:szCs w:val="28"/>
        </w:rPr>
        <w:t>высокий</w:t>
      </w:r>
      <w:r>
        <w:rPr>
          <w:rFonts w:ascii="Times New Roman CYR" w:hAnsi="Times New Roman CYR" w:cs="Times New Roman CYR"/>
          <w:sz w:val="28"/>
          <w:szCs w:val="28"/>
        </w:rPr>
        <w:t>=-1526,02+2,35*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Кол_чел_на_1врача </w:t>
      </w:r>
      <w:r>
        <w:rPr>
          <w:rFonts w:ascii="Times New Roman CYR" w:hAnsi="Times New Roman CYR" w:cs="Times New Roman CYR"/>
          <w:sz w:val="28"/>
          <w:szCs w:val="28"/>
        </w:rPr>
        <w:t>+1,98*</w:t>
      </w:r>
      <w:proofErr w:type="spellStart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Расх_на_здрав</w:t>
      </w:r>
      <w:proofErr w:type="spellEnd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+0,20*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ВВП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>+46,93*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Смертность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sz w:val="28"/>
          <w:szCs w:val="28"/>
        </w:rPr>
        <w:t>удовлетворительный</w:t>
      </w:r>
      <w:r>
        <w:rPr>
          <w:rFonts w:ascii="Times New Roman CYR" w:hAnsi="Times New Roman CYR" w:cs="Times New Roman CYR"/>
          <w:sz w:val="28"/>
          <w:szCs w:val="28"/>
        </w:rPr>
        <w:t>=-921,497+1,834*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Кол_чел_на_1врача </w:t>
      </w:r>
      <w:r>
        <w:rPr>
          <w:rFonts w:ascii="Times New Roman CYR" w:hAnsi="Times New Roman CYR" w:cs="Times New Roman CYR"/>
          <w:sz w:val="28"/>
          <w:szCs w:val="28"/>
        </w:rPr>
        <w:t>+1,718*</w:t>
      </w:r>
      <w:proofErr w:type="spellStart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Расх_на_здрав</w:t>
      </w:r>
      <w:proofErr w:type="spellEnd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+0,153*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ВВП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>+36,637*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Смертность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sz w:val="28"/>
          <w:szCs w:val="28"/>
        </w:rPr>
        <w:t>низкий</w:t>
      </w:r>
      <w:r>
        <w:rPr>
          <w:rFonts w:ascii="Times New Roman CYR" w:hAnsi="Times New Roman CYR" w:cs="Times New Roman CYR"/>
          <w:sz w:val="28"/>
          <w:szCs w:val="28"/>
        </w:rPr>
        <w:t>=-576,414+1,455*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Кол_чел_на_1врача </w:t>
      </w:r>
      <w:r>
        <w:rPr>
          <w:rFonts w:ascii="Times New Roman CYR" w:hAnsi="Times New Roman CYR" w:cs="Times New Roman CYR"/>
          <w:sz w:val="28"/>
          <w:szCs w:val="28"/>
        </w:rPr>
        <w:t>+1,455*</w:t>
      </w:r>
      <w:proofErr w:type="spellStart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Расх_на_здрав</w:t>
      </w:r>
      <w:proofErr w:type="spellEnd"/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+0,116*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ВВП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</w:rPr>
        <w:t>_на</w:t>
      </w:r>
      <w:proofErr w:type="spellEnd"/>
      <w:r>
        <w:rPr>
          <w:rFonts w:ascii="Times New Roman CYR" w:hAnsi="Times New Roman CYR" w:cs="Times New Roman CYR"/>
          <w:i/>
          <w:iCs/>
          <w:sz w:val="28"/>
          <w:szCs w:val="28"/>
        </w:rPr>
        <w:t>_ душу_ насел</w:t>
      </w:r>
      <w:r>
        <w:rPr>
          <w:rFonts w:ascii="Times New Roman CYR" w:hAnsi="Times New Roman CYR" w:cs="Times New Roman CYR"/>
          <w:sz w:val="28"/>
          <w:szCs w:val="28"/>
        </w:rPr>
        <w:t>+29,066*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Смертность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Новые случаи будут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относится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 тому классу, для которого классификационное значение будет максимальное.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Для Молдавии и Украины, как видно из ниже приведенных расчетов Молдавия отнесена к группе "низкий", а Украина к группе "удовлетворительный" уровень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здравохранения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т.к. значения соответствующих классификационных функций наибольшие.</w:t>
      </w:r>
      <w:proofErr w:type="gramEnd"/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2304"/>
        <w:gridCol w:w="1766"/>
        <w:gridCol w:w="1560"/>
      </w:tblGrid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Молдавия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Украина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ол_чел_на_1врача</w:t>
            </w:r>
          </w:p>
        </w:tc>
        <w:tc>
          <w:tcPr>
            <w:tcW w:w="17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Расх_на_здрав</w:t>
            </w:r>
            <w:proofErr w:type="spellEnd"/>
          </w:p>
        </w:tc>
        <w:tc>
          <w:tcPr>
            <w:tcW w:w="17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ВВП_на_душу_насел</w:t>
            </w:r>
            <w:proofErr w:type="spellEnd"/>
          </w:p>
        </w:tc>
        <w:tc>
          <w:tcPr>
            <w:tcW w:w="17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3850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Смертность</w:t>
            </w:r>
          </w:p>
        </w:tc>
        <w:tc>
          <w:tcPr>
            <w:tcW w:w="17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16,4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Конст-та</w:t>
            </w:r>
            <w:proofErr w:type="spellEnd"/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-576,414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-1526,02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низкий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654,2842168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865,1819691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высокий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446,1991559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811,6443113</w:t>
            </w:r>
          </w:p>
        </w:tc>
      </w:tr>
      <w:tr w:rsidR="00D40573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удовлетвор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7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627,6967153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573" w:rsidRDefault="00D40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902,8690472</w:t>
            </w:r>
          </w:p>
        </w:tc>
      </w:tr>
    </w:tbl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Times New Roman CYR" w:hAnsi="Times New Roman CYR" w:cs="Times New Roman CYR"/>
          <w:sz w:val="28"/>
          <w:szCs w:val="28"/>
        </w:rPr>
        <w:t>Как видно, результаты классификации для объектов-стран Молдавия и Украина двумя способами совпадают.</w:t>
      </w: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D40573" w:rsidRDefault="00D40573" w:rsidP="00D40573">
      <w:pPr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:rsidR="002574A2" w:rsidRDefault="002574A2"/>
    <w:sectPr w:rsidR="002574A2" w:rsidSect="003056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08"/>
  <w:characterSpacingControl w:val="doNotCompress"/>
  <w:compat/>
  <w:rsids>
    <w:rsidRoot w:val="00D40573"/>
    <w:rsid w:val="002574A2"/>
    <w:rsid w:val="00D4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4D4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1050</Words>
  <Characters>5989</Characters>
  <Application>Microsoft Office Word</Application>
  <DocSecurity>0</DocSecurity>
  <Lines>49</Lines>
  <Paragraphs>14</Paragraphs>
  <ScaleCrop>false</ScaleCrop>
  <Company>diakov.net</Company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serge777</cp:lastModifiedBy>
  <cp:revision>1</cp:revision>
  <dcterms:created xsi:type="dcterms:W3CDTF">2018-11-26T12:25:00Z</dcterms:created>
  <dcterms:modified xsi:type="dcterms:W3CDTF">2018-11-26T12:26:00Z</dcterms:modified>
</cp:coreProperties>
</file>