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00"/>
              <w:left w:type="dxa" w:w="400"/>
              <w:bottom w:type="dxa" w:w="300"/>
              <w:right w:type="dxa" w:w="400"/>
            </w:tcMar>
          </w:tcPr>
          <w:p>
            <w:pPr>
              <w:jc w:val="center"/>
            </w:pPr>
            <w:r>
              <w:rPr>
                <w:rFonts w:ascii="Arial" w:cs="Arial" w:eastAsia="Arial" w:hAnsi="Arial"/>
                <w:b/>
                <w:bCs/>
                <w:color w:val="AAAAAA"/>
                <w:sz w:val="18"/>
                <w:szCs w:val="18"/>
              </w:rPr>
              <w:t xml:space="preserve">PROJECT WRITEUP</w:t>
            </w:r>
          </w:p>
          <w:p>
            <w:pPr>
              <w:spacing w:before="80"/>
              <w:jc w:val="center"/>
            </w:pPr>
            <w:r>
              <w:rPr>
                <w:rFonts w:ascii="Arial" w:cs="Arial" w:eastAsia="Arial" w:hAnsi="Arial"/>
                <w:b/>
                <w:bCs/>
                <w:color w:val="FFFFFF"/>
                <w:sz w:val="56"/>
                <w:szCs w:val="56"/>
              </w:rPr>
              <w:t xml:space="preserve">Synapse</w:t>
            </w:r>
          </w:p>
          <w:p>
            <w:pPr>
              <w:spacing w:before="80"/>
              <w:jc w:val="center"/>
            </w:pPr>
            <w:r>
              <w:rPr>
                <w:rFonts w:ascii="Arial" w:cs="Arial" w:eastAsia="Arial" w:hAnsi="Arial"/>
                <w:i/>
                <w:iCs/>
                <w:color w:val="DDDDDD"/>
                <w:sz w:val="22"/>
                <w:szCs w:val="22"/>
              </w:rPr>
              <w:t xml:space="preserve">Autonomous Multi-Agent Orchestration &amp; Observability Platform</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pPr>
              <w:jc w:val="center"/>
            </w:pPr>
            <w:r>
              <w:rPr>
                <w:rFonts w:ascii="Arial" w:cs="Arial" w:eastAsia="Arial" w:hAnsi="Arial"/>
                <w:b/>
                <w:bCs/>
                <w:color w:val="FFFFFF"/>
                <w:sz w:val="28"/>
                <w:szCs w:val="28"/>
              </w:rPr>
              <w:t xml:space="preserve">A</w:t>
            </w:r>
          </w:p>
        </w:tc>
        <w:tc>
          <w:tcPr>
            <w:tcW w:type="dxa" w:w="8460"/>
            <w:tcBorders>
              <w:top w:val="none" w:color="FFFFFF" w:sz="0"/>
              <w:left w:val="none" w:color="FFFFFF" w:sz="0"/>
              <w:bottom w:val="none" w:color="FFFFFF" w:sz="0"/>
              <w:right w:val="none" w:color="FFFFFF" w:sz="0"/>
            </w:tcBorders>
            <w:shd w:fill="F0F4F8" w:val="clear"/>
            <w:tcMar>
              <w:top w:type="dxa" w:w="80"/>
              <w:left w:type="dxa" w:w="200"/>
              <w:bottom w:type="dxa" w:w="80"/>
              <w:right w:type="dxa" w:w="160"/>
            </w:tcMar>
          </w:tcPr>
          <w:p>
            <w:r>
              <w:rPr>
                <w:rFonts w:ascii="Arial" w:cs="Arial" w:eastAsia="Arial" w:hAnsi="Arial"/>
                <w:b/>
                <w:bCs/>
                <w:color w:val="1A1A2E"/>
                <w:sz w:val="24"/>
                <w:szCs w:val="24"/>
              </w:rPr>
              <w:t xml:space="preserve">PROJECT OVERVIEW</w:t>
            </w:r>
          </w:p>
        </w:tc>
      </w:tr>
    </w:tbl>
    <w:p>
      <w:pPr>
        <w:spacing w:after="0" w:before="60"/>
      </w:pPr>
      <w:r>
        <w:t xml:space="preserve"/>
      </w:r>
    </w:p>
    <w:p>
      <w:pPr>
        <w:spacing w:after="40" w:before="40"/>
      </w:pPr>
      <w:r>
        <w:rPr>
          <w:rFonts w:ascii="Arial" w:cs="Arial" w:eastAsia="Arial" w:hAnsi="Arial"/>
          <w:b w:val="false"/>
          <w:bCs w:val="false"/>
          <w:i w:val="false"/>
          <w:iCs w:val="false"/>
          <w:color w:val="1A202C"/>
          <w:sz w:val="20"/>
          <w:szCs w:val="20"/>
        </w:rPr>
        <w:t xml:space="preserve">Multi-agent systems are the defining engineering frontier of 2026. Every major AI lab, product company, and enterprise software team is actively building agent infrastructure. Synapse is a production-grade platform for orchestrating networks of specialized LLM agents — with persistent memory, sandboxed tool execution, fault tolerance, real-time observability, and an interactive trace viewer UI. This is not a demo; it is deployable infrastructure.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Problem Solved</w:t>
            </w:r>
          </w:p>
        </w:tc>
        <w:tc>
          <w:tcPr>
            <w:tcW w:type="dxa" w:w="65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Single LLM calls break on complex, multi-step tasks. Synapse decomposes tasks, routes to specialist agents, maintains state across turns, and recovers from tool failures automatically — without human intervention.</w:t>
            </w:r>
          </w:p>
        </w:tc>
      </w:tr>
      <w:tr>
        <w:tc>
          <w:tcPr>
            <w:tcW w:type="dxa" w:w="28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Target User</w:t>
            </w:r>
          </w:p>
        </w:tc>
        <w:tc>
          <w:tcPr>
            <w:tcW w:type="dxa" w:w="65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Developers and teams who need autonomous AI pipelines that can reason, execute code, browse the web, query databases, and self-correct without manual oversight.</w:t>
            </w:r>
          </w:p>
        </w:tc>
      </w:tr>
      <w:tr>
        <w:tc>
          <w:tcPr>
            <w:tcW w:type="dxa" w:w="28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Real-World Analog</w:t>
            </w:r>
          </w:p>
        </w:tc>
        <w:tc>
          <w:tcPr>
            <w:tcW w:type="dxa" w:w="65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Internal infrastructure at OpenAI (Swarm), Microsoft (AutoGen), Salesforce (AgentForce), and LangChain Cloud — all companies actively hiring for this exact skill set in 2026.</w:t>
            </w:r>
          </w:p>
        </w:tc>
      </w:tr>
      <w:tr>
        <w:tc>
          <w:tcPr>
            <w:tcW w:type="dxa" w:w="28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Scale Target</w:t>
            </w:r>
          </w:p>
        </w:tc>
        <w:tc>
          <w:tcPr>
            <w:tcW w:type="dxa" w:w="65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10,000+ agent task runs, multi-tenant, sub-2s p95 latency for 3-step chains, zero task loss under injected tool failures.</w:t>
            </w:r>
          </w:p>
        </w:tc>
      </w:tr>
      <w:tr>
        <w:tc>
          <w:tcPr>
            <w:tcW w:type="dxa" w:w="28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Resume Roles Targeted</w:t>
            </w:r>
          </w:p>
        </w:tc>
        <w:tc>
          <w:tcPr>
            <w:tcW w:type="dxa" w:w="65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Software Engineer, AI Engineer, ML Engineer, Full Stack SWE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3460" w:val="clear"/>
            <w:tcMar>
              <w:top w:type="dxa" w:w="80"/>
              <w:left w:type="dxa" w:w="160"/>
              <w:bottom w:type="dxa" w:w="80"/>
              <w:right w:type="dxa" w:w="160"/>
            </w:tcMar>
          </w:tcPr>
          <w:p>
            <w:pPr>
              <w:jc w:val="center"/>
            </w:pPr>
            <w:r>
              <w:rPr>
                <w:rFonts w:ascii="Arial" w:cs="Arial" w:eastAsia="Arial" w:hAnsi="Arial"/>
                <w:b/>
                <w:bCs/>
                <w:color w:val="FFFFFF"/>
                <w:sz w:val="28"/>
                <w:szCs w:val="28"/>
              </w:rPr>
              <w:t xml:space="preserve">B</w:t>
            </w:r>
          </w:p>
        </w:tc>
        <w:tc>
          <w:tcPr>
            <w:tcW w:type="dxa" w:w="8460"/>
            <w:tcBorders>
              <w:top w:val="none" w:color="FFFFFF" w:sz="0"/>
              <w:left w:val="none" w:color="FFFFFF" w:sz="0"/>
              <w:bottom w:val="none" w:color="FFFFFF" w:sz="0"/>
              <w:right w:val="none" w:color="FFFFFF" w:sz="0"/>
            </w:tcBorders>
            <w:shd w:fill="F0F4F8" w:val="clear"/>
            <w:tcMar>
              <w:top w:type="dxa" w:w="80"/>
              <w:left w:type="dxa" w:w="200"/>
              <w:bottom w:type="dxa" w:w="80"/>
              <w:right w:type="dxa" w:w="160"/>
            </w:tcMar>
          </w:tcPr>
          <w:p>
            <w:r>
              <w:rPr>
                <w:rFonts w:ascii="Arial" w:cs="Arial" w:eastAsia="Arial" w:hAnsi="Arial"/>
                <w:b/>
                <w:bCs/>
                <w:color w:val="0F3460"/>
                <w:sz w:val="24"/>
                <w:szCs w:val="24"/>
              </w:rPr>
              <w:t xml:space="preserve">ENGINEERING DEPTH</w:t>
            </w:r>
          </w:p>
        </w:tc>
      </w:tr>
    </w:tbl>
    <w:p>
      <w:pPr>
        <w:spacing w:after="0" w:before="60"/>
      </w:pPr>
      <w:r>
        <w:t xml:space="preserve"/>
      </w:r>
    </w:p>
    <w:p>
      <w:pPr>
        <w:pStyle w:val="Heading3"/>
        <w:spacing w:after="60" w:before="200"/>
      </w:pPr>
      <w:r>
        <w:rPr>
          <w:rFonts w:ascii="Arial" w:cs="Arial" w:eastAsia="Arial" w:hAnsi="Arial"/>
          <w:b/>
          <w:bCs/>
          <w:color w:val="E94560"/>
          <w:sz w:val="22"/>
          <w:szCs w:val="22"/>
        </w:rPr>
        <w:t xml:space="preserve">Core Architecture</w:t>
      </w:r>
    </w:p>
    <w:p>
      <w:pPr>
        <w:pStyle w:val="ListParagraph"/>
        <w:numPr>
          <w:ilvl w:val="0"/>
          <w:numId w:val="2"/>
        </w:numPr>
        <w:spacing w:after="30" w:before="30"/>
      </w:pPr>
      <w:r>
        <w:rPr>
          <w:rFonts w:ascii="Arial" w:cs="Arial" w:eastAsia="Arial" w:hAnsi="Arial"/>
          <w:color w:val="1A202C"/>
          <w:sz w:val="20"/>
          <w:szCs w:val="20"/>
        </w:rPr>
        <w:t xml:space="preserve">Supervisor–Specialist topology: a meta-agent decomposes incoming tasks and routes sub-tasks to domain-specific agents — Researcher, Coder, Analyst, Writer, SQL Agent — each with its own system prompt, tool access, and capability boundary</w:t>
      </w:r>
    </w:p>
    <w:p>
      <w:pPr>
        <w:pStyle w:val="ListParagraph"/>
        <w:numPr>
          <w:ilvl w:val="0"/>
          <w:numId w:val="2"/>
        </w:numPr>
        <w:spacing w:after="30" w:before="30"/>
      </w:pPr>
      <w:r>
        <w:rPr>
          <w:rFonts w:ascii="Arial" w:cs="Arial" w:eastAsia="Arial" w:hAnsi="Arial"/>
          <w:color w:val="1A202C"/>
          <w:sz w:val="20"/>
          <w:szCs w:val="20"/>
        </w:rPr>
        <w:t xml:space="preserve">LangGraph state machine: every agent run is a stateful, typed graph with conditional edges, checkpoint nodes, and resume-from-failure capability — not a simple sequential chain</w:t>
      </w:r>
    </w:p>
    <w:p>
      <w:pPr>
        <w:pStyle w:val="ListParagraph"/>
        <w:numPr>
          <w:ilvl w:val="0"/>
          <w:numId w:val="2"/>
        </w:numPr>
        <w:spacing w:after="30" w:before="30"/>
      </w:pPr>
      <w:r>
        <w:rPr>
          <w:rFonts w:ascii="Arial" w:cs="Arial" w:eastAsia="Arial" w:hAnsi="Arial"/>
          <w:color w:val="1A202C"/>
          <w:sz w:val="20"/>
          <w:szCs w:val="20"/>
        </w:rPr>
        <w:t xml:space="preserve">Two-tier memory system: Redis working memory for active session context (sub-millisecond retrieval) + pgvector semantic store for episodic long-term memory with automatic summarization when the context window fills</w:t>
      </w:r>
    </w:p>
    <w:p>
      <w:pPr>
        <w:pStyle w:val="ListParagraph"/>
        <w:numPr>
          <w:ilvl w:val="0"/>
          <w:numId w:val="2"/>
        </w:numPr>
        <w:spacing w:after="30" w:before="30"/>
      </w:pPr>
      <w:r>
        <w:rPr>
          <w:rFonts w:ascii="Arial" w:cs="Arial" w:eastAsia="Arial" w:hAnsi="Arial"/>
          <w:color w:val="1A202C"/>
          <w:sz w:val="20"/>
          <w:szCs w:val="20"/>
        </w:rPr>
        <w:t xml:space="preserve">Tool execution sandbox: every tool call — web browse, code execution, SQL query, file I/O — runs in an isolated container (E2B cloud or Docker exec) with hard timeout, memory limit, and output size cap</w:t>
      </w:r>
    </w:p>
    <w:p>
      <w:pPr>
        <w:pStyle w:val="ListParagraph"/>
        <w:numPr>
          <w:ilvl w:val="0"/>
          <w:numId w:val="2"/>
        </w:numPr>
        <w:spacing w:after="30" w:before="30"/>
      </w:pPr>
      <w:r>
        <w:rPr>
          <w:rFonts w:ascii="Arial" w:cs="Arial" w:eastAsia="Arial" w:hAnsi="Arial"/>
          <w:color w:val="1A202C"/>
          <w:sz w:val="20"/>
          <w:szCs w:val="20"/>
        </w:rPr>
        <w:t xml:space="preserve">Async task queue: Celery + Redis broker for non-blocking agent execution; idempotent task IDs for safe retries; dead-letter queue for failed tasks with exponential backoff and jitter</w:t>
      </w:r>
    </w:p>
    <w:p>
      <w:pPr>
        <w:pStyle w:val="ListParagraph"/>
        <w:numPr>
          <w:ilvl w:val="0"/>
          <w:numId w:val="2"/>
        </w:numPr>
        <w:spacing w:after="30" w:before="30"/>
      </w:pPr>
      <w:r>
        <w:rPr>
          <w:rFonts w:ascii="Arial" w:cs="Arial" w:eastAsia="Arial" w:hAnsi="Arial"/>
          <w:color w:val="1A202C"/>
          <w:sz w:val="20"/>
          <w:szCs w:val="20"/>
        </w:rPr>
        <w:t xml:space="preserve">Multi-provider LLM routing: pluggable provider abstraction across OpenAI, Anthropic, and Groq with cost-based selection and per-task provider override — mirrors InferMesh patterns you already built</w:t>
      </w:r>
    </w:p>
    <w:p>
      <w:pPr>
        <w:spacing w:after="0" w:before="60"/>
      </w:pPr>
      <w:r>
        <w:t xml:space="preserve"/>
      </w:r>
    </w:p>
    <w:p>
      <w:pPr>
        <w:pStyle w:val="Heading3"/>
        <w:spacing w:after="60" w:before="200"/>
      </w:pPr>
      <w:r>
        <w:rPr>
          <w:rFonts w:ascii="Arial" w:cs="Arial" w:eastAsia="Arial" w:hAnsi="Arial"/>
          <w:b/>
          <w:bCs/>
          <w:color w:val="E94560"/>
          <w:sz w:val="22"/>
          <w:szCs w:val="22"/>
        </w:rPr>
        <w:t xml:space="preserve">Interactive UI — Three Surfaces</w:t>
      </w:r>
    </w:p>
    <w:p>
      <w:pPr>
        <w:pStyle w:val="ListParagraph"/>
        <w:numPr>
          <w:ilvl w:val="0"/>
          <w:numId w:val="2"/>
        </w:numPr>
        <w:spacing w:after="30" w:before="30"/>
      </w:pPr>
      <w:r>
        <w:rPr>
          <w:rFonts w:ascii="Arial" w:cs="Arial" w:eastAsia="Arial" w:hAnsi="Arial"/>
          <w:color w:val="1A202C"/>
          <w:sz w:val="20"/>
          <w:szCs w:val="20"/>
        </w:rPr>
        <w:t xml:space="preserve">Task Dashboard: submit tasks via natural language input, view all active and historical runs with status, total cost, agent count, and duration — clean React + Tailwind interface</w:t>
      </w:r>
    </w:p>
    <w:p>
      <w:pPr>
        <w:pStyle w:val="ListParagraph"/>
        <w:numPr>
          <w:ilvl w:val="0"/>
          <w:numId w:val="2"/>
        </w:numPr>
        <w:spacing w:after="30" w:before="30"/>
      </w:pPr>
      <w:r>
        <w:rPr>
          <w:rFonts w:ascii="Arial" w:cs="Arial" w:eastAsia="Arial" w:hAnsi="Arial"/>
          <w:color w:val="1A202C"/>
          <w:sz w:val="20"/>
          <w:szCs w:val="20"/>
        </w:rPr>
        <w:t xml:space="preserve">Real-Time Agent Trace Viewer: live WebSocket-streamed decision tree showing each agent node, tool call, LLM invocation, cost per span, and latency as they happen — the single most impressive demo moment in any interview</w:t>
      </w:r>
    </w:p>
    <w:p>
      <w:pPr>
        <w:pStyle w:val="ListParagraph"/>
        <w:numPr>
          <w:ilvl w:val="0"/>
          <w:numId w:val="2"/>
        </w:numPr>
        <w:spacing w:after="30" w:before="30"/>
      </w:pPr>
      <w:r>
        <w:rPr>
          <w:rFonts w:ascii="Arial" w:cs="Arial" w:eastAsia="Arial" w:hAnsi="Arial"/>
          <w:color w:val="1A202C"/>
          <w:sz w:val="20"/>
          <w:szCs w:val="20"/>
        </w:rPr>
        <w:t xml:space="preserve">Memory Explorer Panel: browse episodic memory chunks stored in pgvector, their embedding similarity scores, and which chunks were retrieved for the current task — makes the memory system tangible and explainable</w:t>
      </w:r>
    </w:p>
    <w:p>
      <w:pPr>
        <w:spacing w:after="0" w:before="60"/>
      </w:pPr>
      <w:r>
        <w:t xml:space="preserve"/>
      </w:r>
    </w:p>
    <w:p>
      <w:pPr>
        <w:pStyle w:val="Heading3"/>
        <w:spacing w:after="60" w:before="200"/>
      </w:pPr>
      <w:r>
        <w:rPr>
          <w:rFonts w:ascii="Arial" w:cs="Arial" w:eastAsia="Arial" w:hAnsi="Arial"/>
          <w:b/>
          <w:bCs/>
          <w:color w:val="E94560"/>
          <w:sz w:val="22"/>
          <w:szCs w:val="22"/>
        </w:rPr>
        <w:t xml:space="preserve">Observability Layer</w:t>
      </w:r>
    </w:p>
    <w:p>
      <w:pPr>
        <w:pStyle w:val="ListParagraph"/>
        <w:numPr>
          <w:ilvl w:val="0"/>
          <w:numId w:val="2"/>
        </w:numPr>
        <w:spacing w:after="30" w:before="30"/>
      </w:pPr>
      <w:r>
        <w:rPr>
          <w:rFonts w:ascii="Arial" w:cs="Arial" w:eastAsia="Arial" w:hAnsi="Arial"/>
          <w:color w:val="1A202C"/>
          <w:sz w:val="20"/>
          <w:szCs w:val="20"/>
        </w:rPr>
        <w:t xml:space="preserve">OpenTelemetry integration: every agent decision, tool call, and LLM invocation emits a span with parent-child hierarchy — full distributed trace per task run</w:t>
      </w:r>
    </w:p>
    <w:p>
      <w:pPr>
        <w:pStyle w:val="ListParagraph"/>
        <w:numPr>
          <w:ilvl w:val="0"/>
          <w:numId w:val="2"/>
        </w:numPr>
        <w:spacing w:after="30" w:before="30"/>
      </w:pPr>
      <w:r>
        <w:rPr>
          <w:rFonts w:ascii="Arial" w:cs="Arial" w:eastAsia="Arial" w:hAnsi="Arial"/>
          <w:color w:val="1A202C"/>
          <w:sz w:val="20"/>
          <w:szCs w:val="20"/>
        </w:rPr>
        <w:t xml:space="preserve">Langfuse integration: LLM-specific tracing capturing prompt tokens, completion tokens, cost, latency, and model version per span — queryable after every run</w:t>
      </w:r>
    </w:p>
    <w:p>
      <w:pPr>
        <w:pStyle w:val="ListParagraph"/>
        <w:numPr>
          <w:ilvl w:val="0"/>
          <w:numId w:val="2"/>
        </w:numPr>
        <w:spacing w:after="30" w:before="30"/>
      </w:pPr>
      <w:r>
        <w:rPr>
          <w:rFonts w:ascii="Arial" w:cs="Arial" w:eastAsia="Arial" w:hAnsi="Arial"/>
          <w:color w:val="1A202C"/>
          <w:sz w:val="20"/>
          <w:szCs w:val="20"/>
        </w:rPr>
        <w:t xml:space="preserve">Anomaly detection: Welford online algorithm (reused from PulseQueue) tracks running mean and variance of cost and latency per agent — Slack alert when p99 or cost exceeds 2.5 standard deviations from baseline</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3460" w:val="clear"/>
            <w:tcMar>
              <w:top w:type="dxa" w:w="80"/>
              <w:left w:type="dxa" w:w="160"/>
              <w:bottom w:type="dxa" w:w="80"/>
              <w:right w:type="dxa" w:w="160"/>
            </w:tcMar>
          </w:tcPr>
          <w:p>
            <w:pPr>
              <w:jc w:val="center"/>
            </w:pPr>
            <w:r>
              <w:rPr>
                <w:rFonts w:ascii="Arial" w:cs="Arial" w:eastAsia="Arial" w:hAnsi="Arial"/>
                <w:b/>
                <w:bCs/>
                <w:color w:val="FFFFFF"/>
                <w:sz w:val="28"/>
                <w:szCs w:val="28"/>
              </w:rPr>
              <w:t xml:space="preserve">C</w:t>
            </w:r>
          </w:p>
        </w:tc>
        <w:tc>
          <w:tcPr>
            <w:tcW w:type="dxa" w:w="8460"/>
            <w:tcBorders>
              <w:top w:val="none" w:color="FFFFFF" w:sz="0"/>
              <w:left w:val="none" w:color="FFFFFF" w:sz="0"/>
              <w:bottom w:val="none" w:color="FFFFFF" w:sz="0"/>
              <w:right w:val="none" w:color="FFFFFF" w:sz="0"/>
            </w:tcBorders>
            <w:shd w:fill="F0F4F8" w:val="clear"/>
            <w:tcMar>
              <w:top w:type="dxa" w:w="80"/>
              <w:left w:type="dxa" w:w="200"/>
              <w:bottom w:type="dxa" w:w="80"/>
              <w:right w:type="dxa" w:w="160"/>
            </w:tcMar>
          </w:tcPr>
          <w:p>
            <w:r>
              <w:rPr>
                <w:rFonts w:ascii="Arial" w:cs="Arial" w:eastAsia="Arial" w:hAnsi="Arial"/>
                <w:b/>
                <w:bCs/>
                <w:color w:val="0F3460"/>
                <w:sz w:val="24"/>
                <w:szCs w:val="24"/>
              </w:rPr>
              <w:t xml:space="preserve">ADVANCED SYSTEM DESIGN</w:t>
            </w:r>
          </w:p>
        </w:tc>
      </w:tr>
    </w:tbl>
    <w:p>
      <w:pPr>
        <w:spacing w:after="0" w:before="60"/>
      </w:pPr>
      <w:r>
        <w:t xml:space="preserve"/>
      </w:r>
    </w:p>
    <w:p>
      <w:pPr>
        <w:pStyle w:val="ListParagraph"/>
        <w:numPr>
          <w:ilvl w:val="0"/>
          <w:numId w:val="3"/>
        </w:numPr>
        <w:spacing w:after="30" w:before="40"/>
      </w:pPr>
      <w:r>
        <w:rPr>
          <w:rFonts w:ascii="Arial" w:cs="Arial" w:eastAsia="Arial" w:hAnsi="Arial"/>
          <w:b/>
          <w:bCs/>
          <w:color w:val="1A202C"/>
          <w:sz w:val="20"/>
          <w:szCs w:val="20"/>
        </w:rPr>
        <w:t xml:space="preserve">How do you prevent infinite agent loops?</w:t>
      </w:r>
    </w:p>
    <w:p>
      <w:pPr>
        <w:pStyle w:val="ListParagraph"/>
        <w:numPr>
          <w:ilvl w:val="1"/>
          <w:numId w:val="2"/>
        </w:numPr>
        <w:spacing w:after="25" w:before="25"/>
      </w:pPr>
      <w:r>
        <w:rPr>
          <w:rFonts w:ascii="Arial" w:cs="Arial" w:eastAsia="Arial" w:hAnsi="Arial"/>
          <w:color w:val="4A5568"/>
          <w:sz w:val="19"/>
          <w:szCs w:val="19"/>
        </w:rPr>
        <w:t xml:space="preserve">Max iteration guard at the LangGraph state machine level, not the application layer. A watchdog timer kills any task after a configurable wall-clock timeout regardless of iteration count. A budget enforcer halts the run when estimated cost exceeds the per-task limit — three independent safety mechanisms, not one.</w:t>
      </w:r>
    </w:p>
    <w:p>
      <w:pPr>
        <w:pStyle w:val="ListParagraph"/>
        <w:numPr>
          <w:ilvl w:val="0"/>
          <w:numId w:val="3"/>
        </w:numPr>
        <w:spacing w:after="30" w:before="40"/>
      </w:pPr>
      <w:r>
        <w:rPr>
          <w:rFonts w:ascii="Arial" w:cs="Arial" w:eastAsia="Arial" w:hAnsi="Arial"/>
          <w:b/>
          <w:bCs/>
          <w:color w:val="1A202C"/>
          <w:sz w:val="20"/>
          <w:szCs w:val="20"/>
        </w:rPr>
        <w:t xml:space="preserve">How do you handle tool failures mid-chain?</w:t>
      </w:r>
    </w:p>
    <w:p>
      <w:pPr>
        <w:pStyle w:val="ListParagraph"/>
        <w:numPr>
          <w:ilvl w:val="1"/>
          <w:numId w:val="2"/>
        </w:numPr>
        <w:spacing w:after="25" w:before="25"/>
      </w:pPr>
      <w:r>
        <w:rPr>
          <w:rFonts w:ascii="Arial" w:cs="Arial" w:eastAsia="Arial" w:hAnsi="Arial"/>
          <w:color w:val="4A5568"/>
          <w:sz w:val="19"/>
          <w:szCs w:val="19"/>
        </w:rPr>
        <w:t xml:space="preserve">Tool calls are wrapped in a retry policy with exponential backoff and jitter. Failed tool results are stored as typed error nodes in the task graph. The supervisor agent receives the error context and can re-plan — using a different tool, skipping the step, or routing to a fallback agent — without restarting the entire task.</w:t>
      </w:r>
    </w:p>
    <w:p>
      <w:pPr>
        <w:pStyle w:val="ListParagraph"/>
        <w:numPr>
          <w:ilvl w:val="0"/>
          <w:numId w:val="3"/>
        </w:numPr>
        <w:spacing w:after="30" w:before="40"/>
      </w:pPr>
      <w:r>
        <w:rPr>
          <w:rFonts w:ascii="Arial" w:cs="Arial" w:eastAsia="Arial" w:hAnsi="Arial"/>
          <w:b/>
          <w:bCs/>
          <w:color w:val="1A202C"/>
          <w:sz w:val="20"/>
          <w:szCs w:val="20"/>
        </w:rPr>
        <w:t xml:space="preserve">How does episodic memory scale without growing unbounded?</w:t>
      </w:r>
    </w:p>
    <w:p>
      <w:pPr>
        <w:pStyle w:val="ListParagraph"/>
        <w:numPr>
          <w:ilvl w:val="1"/>
          <w:numId w:val="2"/>
        </w:numPr>
        <w:spacing w:after="25" w:before="25"/>
      </w:pPr>
      <w:r>
        <w:rPr>
          <w:rFonts w:ascii="Arial" w:cs="Arial" w:eastAsia="Arial" w:hAnsi="Arial"/>
          <w:color w:val="4A5568"/>
          <w:sz w:val="19"/>
          <w:szCs w:val="19"/>
        </w:rPr>
        <w:t xml:space="preserve">Active session state lives in Redis (sub-ms, TTL-evicted after session end). At session close, a lightweight LLM summarization call condenses key facts, which are embedded and upserted into pgvector. At recall time, cosine similarity top-k retrieval with MMR re-ranking prevents redundant chunks from dominating context. The pgvector store is the only persistent store — Redis is ephemeral by design.</w:t>
      </w:r>
    </w:p>
    <w:p>
      <w:pPr>
        <w:pStyle w:val="ListParagraph"/>
        <w:numPr>
          <w:ilvl w:val="0"/>
          <w:numId w:val="3"/>
        </w:numPr>
        <w:spacing w:after="30" w:before="40"/>
      </w:pPr>
      <w:r>
        <w:rPr>
          <w:rFonts w:ascii="Arial" w:cs="Arial" w:eastAsia="Arial" w:hAnsi="Arial"/>
          <w:b/>
          <w:bCs/>
          <w:color w:val="1A202C"/>
          <w:sz w:val="20"/>
          <w:szCs w:val="20"/>
        </w:rPr>
        <w:t xml:space="preserve">How do you scale agent workers horizontally?</w:t>
      </w:r>
    </w:p>
    <w:p>
      <w:pPr>
        <w:pStyle w:val="ListParagraph"/>
        <w:numPr>
          <w:ilvl w:val="1"/>
          <w:numId w:val="2"/>
        </w:numPr>
        <w:spacing w:after="25" w:before="25"/>
      </w:pPr>
      <w:r>
        <w:rPr>
          <w:rFonts w:ascii="Arial" w:cs="Arial" w:eastAsia="Arial" w:hAnsi="Arial"/>
          <w:color w:val="4A5568"/>
          <w:sz w:val="19"/>
          <w:szCs w:val="19"/>
        </w:rPr>
        <w:t xml:space="preserve">Celery workers are fully stateless — all state lives in Redis and PostgreSQL. Scaling is a single Docker Compose scale command with no coordination overhead. LLM API rate limits are the actual throughput bottleneck, managed by a token-bucket rate limiter per provider per user at the FastAPI layer.</w:t>
      </w:r>
    </w:p>
    <w:p>
      <w:pPr>
        <w:pStyle w:val="ListParagraph"/>
        <w:numPr>
          <w:ilvl w:val="0"/>
          <w:numId w:val="3"/>
        </w:numPr>
        <w:spacing w:after="30" w:before="40"/>
      </w:pPr>
      <w:r>
        <w:rPr>
          <w:rFonts w:ascii="Arial" w:cs="Arial" w:eastAsia="Arial" w:hAnsi="Arial"/>
          <w:b/>
          <w:bCs/>
          <w:color w:val="1A202C"/>
          <w:sz w:val="20"/>
          <w:szCs w:val="20"/>
        </w:rPr>
        <w:t xml:space="preserve">Multi-agent vs. single-agent — when do you choose which?</w:t>
      </w:r>
    </w:p>
    <w:p>
      <w:pPr>
        <w:pStyle w:val="ListParagraph"/>
        <w:numPr>
          <w:ilvl w:val="1"/>
          <w:numId w:val="2"/>
        </w:numPr>
        <w:spacing w:after="25" w:before="25"/>
      </w:pPr>
      <w:r>
        <w:rPr>
          <w:rFonts w:ascii="Arial" w:cs="Arial" w:eastAsia="Arial" w:hAnsi="Arial"/>
          <w:color w:val="4A5568"/>
          <w:sz w:val="19"/>
          <w:szCs w:val="19"/>
        </w:rPr>
        <w:t xml:space="preserve">Single agent: task fits in one prompt, no domain specialization benefit, low latency requirement. Multi-agent: task requires parallel research threads, domain expertise isolation (coding agent and writing agent have different tool access and system prompts), or sub-task decomposition when the full task exceeds context length.</w:t>
      </w:r>
    </w:p>
    <w:p>
      <w:pPr>
        <w:pStyle w:val="ListParagraph"/>
        <w:numPr>
          <w:ilvl w:val="0"/>
          <w:numId w:val="3"/>
        </w:numPr>
        <w:spacing w:after="30" w:before="40"/>
      </w:pPr>
      <w:r>
        <w:rPr>
          <w:rFonts w:ascii="Arial" w:cs="Arial" w:eastAsia="Arial" w:hAnsi="Arial"/>
          <w:b/>
          <w:bCs/>
          <w:color w:val="1A202C"/>
          <w:sz w:val="20"/>
          <w:szCs w:val="20"/>
        </w:rPr>
        <w:t xml:space="preserve">How do you make the trace viewer real-time without polling?</w:t>
      </w:r>
    </w:p>
    <w:p>
      <w:pPr>
        <w:pStyle w:val="ListParagraph"/>
        <w:numPr>
          <w:ilvl w:val="1"/>
          <w:numId w:val="2"/>
        </w:numPr>
        <w:spacing w:after="25" w:before="25"/>
      </w:pPr>
      <w:r>
        <w:rPr>
          <w:rFonts w:ascii="Arial" w:cs="Arial" w:eastAsia="Arial" w:hAnsi="Arial"/>
          <w:color w:val="4A5568"/>
          <w:sz w:val="19"/>
          <w:szCs w:val="19"/>
        </w:rPr>
        <w:t xml:space="preserve">Each agent worker publishes span events to a Redis pub/sub channel keyed by task ID. The FastAPI WebSocket handler subscribes to the channel and streams events to the connected browser client. The React trace viewer renders each event as it arrives, building the decision tree incrementally. No polling, no long-polling — pure event-driven.</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3460" w:val="clear"/>
            <w:tcMar>
              <w:top w:type="dxa" w:w="80"/>
              <w:left w:type="dxa" w:w="160"/>
              <w:bottom w:type="dxa" w:w="80"/>
              <w:right w:type="dxa" w:w="160"/>
            </w:tcMar>
          </w:tcPr>
          <w:p>
            <w:pPr>
              <w:jc w:val="center"/>
            </w:pPr>
            <w:r>
              <w:rPr>
                <w:rFonts w:ascii="Arial" w:cs="Arial" w:eastAsia="Arial" w:hAnsi="Arial"/>
                <w:b/>
                <w:bCs/>
                <w:color w:val="FFFFFF"/>
                <w:sz w:val="28"/>
                <w:szCs w:val="28"/>
              </w:rPr>
              <w:t xml:space="preserve">D</w:t>
            </w:r>
          </w:p>
        </w:tc>
        <w:tc>
          <w:tcPr>
            <w:tcW w:type="dxa" w:w="8460"/>
            <w:tcBorders>
              <w:top w:val="none" w:color="FFFFFF" w:sz="0"/>
              <w:left w:val="none" w:color="FFFFFF" w:sz="0"/>
              <w:bottom w:val="none" w:color="FFFFFF" w:sz="0"/>
              <w:right w:val="none" w:color="FFFFFF" w:sz="0"/>
            </w:tcBorders>
            <w:shd w:fill="F0F4F8" w:val="clear"/>
            <w:tcMar>
              <w:top w:type="dxa" w:w="80"/>
              <w:left w:type="dxa" w:w="200"/>
              <w:bottom w:type="dxa" w:w="80"/>
              <w:right w:type="dxa" w:w="160"/>
            </w:tcMar>
          </w:tcPr>
          <w:p>
            <w:r>
              <w:rPr>
                <w:rFonts w:ascii="Arial" w:cs="Arial" w:eastAsia="Arial" w:hAnsi="Arial"/>
                <w:b/>
                <w:bCs/>
                <w:color w:val="0F3460"/>
                <w:sz w:val="24"/>
                <w:szCs w:val="24"/>
              </w:rPr>
              <w:t xml:space="preserve">AI/ML INTEGRATION</w:t>
            </w:r>
          </w:p>
        </w:tc>
      </w:tr>
    </w:tbl>
    <w:p>
      <w:pPr>
        <w:spacing w:after="0" w:before="60"/>
      </w:pPr>
      <w:r>
        <w:t xml:space="preserve"/>
      </w:r>
    </w:p>
    <w:p>
      <w:pPr>
        <w:pStyle w:val="ListParagraph"/>
        <w:numPr>
          <w:ilvl w:val="0"/>
          <w:numId w:val="2"/>
        </w:numPr>
        <w:spacing w:after="30" w:before="30"/>
      </w:pPr>
      <w:r>
        <w:rPr>
          <w:rFonts w:ascii="Arial" w:cs="Arial" w:eastAsia="Arial" w:hAnsi="Arial"/>
          <w:color w:val="1A202C"/>
          <w:sz w:val="20"/>
          <w:szCs w:val="20"/>
        </w:rPr>
        <w:t xml:space="preserve">GAIA benchmark evaluation: automated test harness runs Synapse against GAIA Level 1 (public agent benchmark from Meta/HuggingFace), tracking pass rate across every model version — gives you a citable, externally validated accuracy number</w:t>
      </w:r>
    </w:p>
    <w:p>
      <w:pPr>
        <w:pStyle w:val="ListParagraph"/>
        <w:numPr>
          <w:ilvl w:val="0"/>
          <w:numId w:val="2"/>
        </w:numPr>
        <w:spacing w:after="30" w:before="30"/>
      </w:pPr>
      <w:r>
        <w:rPr>
          <w:rFonts w:ascii="Arial" w:cs="Arial" w:eastAsia="Arial" w:hAnsi="Arial"/>
          <w:color w:val="1A202C"/>
          <w:sz w:val="20"/>
          <w:szCs w:val="20"/>
        </w:rPr>
        <w:t xml:space="preserve">Prompt injection detection: a lightweight classifier (fine-tuned DeBERTa or rule-based heuristics) runs on all external tool outputs before injecting them into agent context — prevents prompt hijacking from malicious web content</w:t>
      </w:r>
    </w:p>
    <w:p>
      <w:pPr>
        <w:pStyle w:val="ListParagraph"/>
        <w:numPr>
          <w:ilvl w:val="0"/>
          <w:numId w:val="2"/>
        </w:numPr>
        <w:spacing w:after="30" w:before="30"/>
      </w:pPr>
      <w:r>
        <w:rPr>
          <w:rFonts w:ascii="Arial" w:cs="Arial" w:eastAsia="Arial" w:hAnsi="Arial"/>
          <w:color w:val="1A202C"/>
          <w:sz w:val="20"/>
          <w:szCs w:val="20"/>
        </w:rPr>
        <w:t xml:space="preserve">DPO preference pipeline: user thumbs up/down on completed task outputs stored as (winning completion, rejected completion) pairs in PostgreSQL — 500+ pairs trigger an optional fine-tuning run on a smaller router model</w:t>
      </w:r>
    </w:p>
    <w:p>
      <w:pPr>
        <w:pStyle w:val="ListParagraph"/>
        <w:numPr>
          <w:ilvl w:val="0"/>
          <w:numId w:val="2"/>
        </w:numPr>
        <w:spacing w:after="30" w:before="30"/>
      </w:pPr>
      <w:r>
        <w:rPr>
          <w:rFonts w:ascii="Arial" w:cs="Arial" w:eastAsia="Arial" w:hAnsi="Arial"/>
          <w:color w:val="1A202C"/>
          <w:sz w:val="20"/>
          <w:szCs w:val="20"/>
        </w:rPr>
        <w:t xml:space="preserve">Agent self-evaluation: after task completion, a separate evaluator LLM scores the output on correctness, completeness, and safety using a rubric (1–10) — score stored and surfaced in the task dashboard with trend charts</w:t>
      </w:r>
    </w:p>
    <w:p>
      <w:pPr>
        <w:pStyle w:val="ListParagraph"/>
        <w:numPr>
          <w:ilvl w:val="0"/>
          <w:numId w:val="2"/>
        </w:numPr>
        <w:spacing w:after="30" w:before="30"/>
      </w:pPr>
      <w:r>
        <w:rPr>
          <w:rFonts w:ascii="Arial" w:cs="Arial" w:eastAsia="Arial" w:hAnsi="Arial"/>
          <w:color w:val="1A202C"/>
          <w:sz w:val="20"/>
          <w:szCs w:val="20"/>
        </w:rPr>
        <w:t xml:space="preserve">Semantic deduplication cache: before starting a new task, cosine similarity check against recent task history — similarity &gt; 0.92 returns the cached result and skips agent execution entirely, reducing redundant LLM spend</w:t>
      </w:r>
    </w:p>
    <w:p>
      <w:pPr>
        <w:pStyle w:val="ListParagraph"/>
        <w:numPr>
          <w:ilvl w:val="0"/>
          <w:numId w:val="2"/>
        </w:numPr>
        <w:spacing w:after="30" w:before="30"/>
      </w:pPr>
      <w:r>
        <w:rPr>
          <w:rFonts w:ascii="Arial" w:cs="Arial" w:eastAsia="Arial" w:hAnsi="Arial"/>
          <w:color w:val="1A202C"/>
          <w:sz w:val="20"/>
          <w:szCs w:val="20"/>
        </w:rPr>
        <w:t xml:space="preserve">Complexity-based model routing: a lightweight classifier predicts task complexity and routes simple tasks to Groq-hosted LLaMA (low latency, low cost) and complex tasks to GPT-4o or Claude — cost optimization without accuracy sacrifice</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3460" w:val="clear"/>
            <w:tcMar>
              <w:top w:type="dxa" w:w="80"/>
              <w:left w:type="dxa" w:w="160"/>
              <w:bottom w:type="dxa" w:w="80"/>
              <w:right w:type="dxa" w:w="160"/>
            </w:tcMar>
          </w:tcPr>
          <w:p>
            <w:pPr>
              <w:jc w:val="center"/>
            </w:pPr>
            <w:r>
              <w:rPr>
                <w:rFonts w:ascii="Arial" w:cs="Arial" w:eastAsia="Arial" w:hAnsi="Arial"/>
                <w:b/>
                <w:bCs/>
                <w:color w:val="FFFFFF"/>
                <w:sz w:val="28"/>
                <w:szCs w:val="28"/>
              </w:rPr>
              <w:t xml:space="preserve">E</w:t>
            </w:r>
          </w:p>
        </w:tc>
        <w:tc>
          <w:tcPr>
            <w:tcW w:type="dxa" w:w="8460"/>
            <w:tcBorders>
              <w:top w:val="none" w:color="FFFFFF" w:sz="0"/>
              <w:left w:val="none" w:color="FFFFFF" w:sz="0"/>
              <w:bottom w:val="none" w:color="FFFFFF" w:sz="0"/>
              <w:right w:val="none" w:color="FFFFFF" w:sz="0"/>
            </w:tcBorders>
            <w:shd w:fill="F0F4F8" w:val="clear"/>
            <w:tcMar>
              <w:top w:type="dxa" w:w="80"/>
              <w:left w:type="dxa" w:w="200"/>
              <w:bottom w:type="dxa" w:w="80"/>
              <w:right w:type="dxa" w:w="160"/>
            </w:tcMar>
          </w:tcPr>
          <w:p>
            <w:r>
              <w:rPr>
                <w:rFonts w:ascii="Arial" w:cs="Arial" w:eastAsia="Arial" w:hAnsi="Arial"/>
                <w:b/>
                <w:bCs/>
                <w:color w:val="0F3460"/>
                <w:sz w:val="24"/>
                <w:szCs w:val="24"/>
              </w:rPr>
              <w:t xml:space="preserve">IMPLEMENTATION ROADMAP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80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Weeks</w:t>
            </w:r>
          </w:p>
        </w:tc>
        <w:tc>
          <w:tcPr>
            <w:tcW w:type="dxa" w:w="6160"/>
            <w:tcBorders>
              <w:top w:val="single" w:color="CBD5E0" w:sz="1"/>
              <w:left w:val="single" w:color="CBD5E0" w:sz="1"/>
              <w:bottom w:val="single" w:color="CBD5E0" w:sz="1"/>
              <w:right w:val="single" w:color="CBD5E0" w:sz="1"/>
            </w:tcBorders>
            <w:shd w:fill="0F3460"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1 — Scaffold</w:t>
            </w:r>
          </w:p>
        </w:tc>
        <w:tc>
          <w:tcPr>
            <w:tcW w:type="dxa" w:w="1800"/>
            <w:tcBorders>
              <w:top w:val="single" w:color="CBD5E0" w:sz="1"/>
              <w:left w:val="single" w:color="CBD5E0" w:sz="1"/>
              <w:bottom w:val="single" w:color="CBD5E0" w:sz="1"/>
              <w:right w:val="single" w:color="CBD5E0" w:sz="1"/>
            </w:tcBorders>
            <w:tcMar>
              <w:top w:type="dxa" w:w="60"/>
              <w:left w:type="dxa" w:w="120"/>
              <w:bottom w:type="dxa" w:w="60"/>
              <w:right w:type="dxa" w:w="120"/>
            </w:tcMar>
          </w:tcPr>
          <w:p>
            <w:pPr>
              <w:jc w:val="center"/>
            </w:pPr>
            <w:r>
              <w:rPr>
                <w:rFonts w:ascii="Arial" w:cs="Arial" w:eastAsia="Arial" w:hAnsi="Arial"/>
                <w:color w:val="4A5568"/>
                <w:sz w:val="17"/>
                <w:szCs w:val="17"/>
              </w:rPr>
              <w:t xml:space="preserve">1–2</w:t>
            </w:r>
          </w:p>
        </w:tc>
        <w:tc>
          <w:tcPr>
            <w:tcW w:type="dxa" w:w="6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1A202C"/>
                <w:sz w:val="17"/>
                <w:szCs w:val="17"/>
              </w:rPr>
              <w:t xml:space="preserve">FastAPI base, JWT + Google OAuth, PostgreSQL schema, Redis setup, Docker Compose, GitHub Actions CI, environment management, project structure</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2 — Core Agents</w:t>
            </w:r>
          </w:p>
        </w:tc>
        <w:tc>
          <w:tcPr>
            <w:tcW w:type="dxa" w:w="1800"/>
            <w:tcBorders>
              <w:top w:val="single" w:color="CBD5E0" w:sz="1"/>
              <w:left w:val="single" w:color="CBD5E0" w:sz="1"/>
              <w:bottom w:val="single" w:color="CBD5E0" w:sz="1"/>
              <w:right w:val="single" w:color="CBD5E0" w:sz="1"/>
            </w:tcBorders>
            <w:tcMar>
              <w:top w:type="dxa" w:w="60"/>
              <w:left w:type="dxa" w:w="120"/>
              <w:bottom w:type="dxa" w:w="60"/>
              <w:right w:type="dxa" w:w="120"/>
            </w:tcMar>
          </w:tcPr>
          <w:p>
            <w:pPr>
              <w:jc w:val="center"/>
            </w:pPr>
            <w:r>
              <w:rPr>
                <w:rFonts w:ascii="Arial" w:cs="Arial" w:eastAsia="Arial" w:hAnsi="Arial"/>
                <w:color w:val="4A5568"/>
                <w:sz w:val="17"/>
                <w:szCs w:val="17"/>
              </w:rPr>
              <w:t xml:space="preserve">3–4</w:t>
            </w:r>
          </w:p>
        </w:tc>
        <w:tc>
          <w:tcPr>
            <w:tcW w:type="dxa" w:w="6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1A202C"/>
                <w:sz w:val="17"/>
                <w:szCs w:val="17"/>
              </w:rPr>
              <w:t xml:space="preserve">LangGraph state machine, supervisor agent, 4 specialist agents (Researcher, Coder, Analyst, Writer), basic tool wrappers with retry, single-turn task execution end-to-end</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3 — Memory</w:t>
            </w:r>
          </w:p>
        </w:tc>
        <w:tc>
          <w:tcPr>
            <w:tcW w:type="dxa" w:w="1800"/>
            <w:tcBorders>
              <w:top w:val="single" w:color="CBD5E0" w:sz="1"/>
              <w:left w:val="single" w:color="CBD5E0" w:sz="1"/>
              <w:bottom w:val="single" w:color="CBD5E0" w:sz="1"/>
              <w:right w:val="single" w:color="CBD5E0" w:sz="1"/>
            </w:tcBorders>
            <w:tcMar>
              <w:top w:type="dxa" w:w="60"/>
              <w:left w:type="dxa" w:w="120"/>
              <w:bottom w:type="dxa" w:w="60"/>
              <w:right w:type="dxa" w:w="120"/>
            </w:tcMar>
          </w:tcPr>
          <w:p>
            <w:pPr>
              <w:jc w:val="center"/>
            </w:pPr>
            <w:r>
              <w:rPr>
                <w:rFonts w:ascii="Arial" w:cs="Arial" w:eastAsia="Arial" w:hAnsi="Arial"/>
                <w:color w:val="4A5568"/>
                <w:sz w:val="17"/>
                <w:szCs w:val="17"/>
              </w:rPr>
              <w:t xml:space="preserve">5–6</w:t>
            </w:r>
          </w:p>
        </w:tc>
        <w:tc>
          <w:tcPr>
            <w:tcW w:type="dxa" w:w="6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1A202C"/>
                <w:sz w:val="17"/>
                <w:szCs w:val="17"/>
              </w:rPr>
              <w:t xml:space="preserve">Redis working memory, pgvector episodic store with Supabase, session summarization pipeline, MMR re-ranking retrieval, memory TTL and eviction policy</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4 — Fault Tolerance</w:t>
            </w:r>
          </w:p>
        </w:tc>
        <w:tc>
          <w:tcPr>
            <w:tcW w:type="dxa" w:w="1800"/>
            <w:tcBorders>
              <w:top w:val="single" w:color="CBD5E0" w:sz="1"/>
              <w:left w:val="single" w:color="CBD5E0" w:sz="1"/>
              <w:bottom w:val="single" w:color="CBD5E0" w:sz="1"/>
              <w:right w:val="single" w:color="CBD5E0" w:sz="1"/>
            </w:tcBorders>
            <w:tcMar>
              <w:top w:type="dxa" w:w="60"/>
              <w:left w:type="dxa" w:w="120"/>
              <w:bottom w:type="dxa" w:w="60"/>
              <w:right w:type="dxa" w:w="120"/>
            </w:tcMar>
          </w:tcPr>
          <w:p>
            <w:pPr>
              <w:jc w:val="center"/>
            </w:pPr>
            <w:r>
              <w:rPr>
                <w:rFonts w:ascii="Arial" w:cs="Arial" w:eastAsia="Arial" w:hAnsi="Arial"/>
                <w:color w:val="4A5568"/>
                <w:sz w:val="17"/>
                <w:szCs w:val="17"/>
              </w:rPr>
              <w:t xml:space="preserve">7–8</w:t>
            </w:r>
          </w:p>
        </w:tc>
        <w:tc>
          <w:tcPr>
            <w:tcW w:type="dxa" w:w="6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1A202C"/>
                <w:sz w:val="17"/>
                <w:szCs w:val="17"/>
              </w:rPr>
              <w:t xml:space="preserve">Celery task queue, dead-letter queue, exponential backoff retry, task checkpointing, idempotency enforcement, budget enforcer, loop detector</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5 — Observability + UI</w:t>
            </w:r>
          </w:p>
        </w:tc>
        <w:tc>
          <w:tcPr>
            <w:tcW w:type="dxa" w:w="1800"/>
            <w:tcBorders>
              <w:top w:val="single" w:color="CBD5E0" w:sz="1"/>
              <w:left w:val="single" w:color="CBD5E0" w:sz="1"/>
              <w:bottom w:val="single" w:color="CBD5E0" w:sz="1"/>
              <w:right w:val="single" w:color="CBD5E0" w:sz="1"/>
            </w:tcBorders>
            <w:tcMar>
              <w:top w:type="dxa" w:w="60"/>
              <w:left w:type="dxa" w:w="120"/>
              <w:bottom w:type="dxa" w:w="60"/>
              <w:right w:type="dxa" w:w="120"/>
            </w:tcMar>
          </w:tcPr>
          <w:p>
            <w:pPr>
              <w:jc w:val="center"/>
            </w:pPr>
            <w:r>
              <w:rPr>
                <w:rFonts w:ascii="Arial" w:cs="Arial" w:eastAsia="Arial" w:hAnsi="Arial"/>
                <w:color w:val="4A5568"/>
                <w:sz w:val="17"/>
                <w:szCs w:val="17"/>
              </w:rPr>
              <w:t xml:space="preserve">9–10</w:t>
            </w:r>
          </w:p>
        </w:tc>
        <w:tc>
          <w:tcPr>
            <w:tcW w:type="dxa" w:w="6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1A202C"/>
                <w:sz w:val="17"/>
                <w:szCs w:val="17"/>
              </w:rPr>
              <w:t xml:space="preserve">OpenTelemetry spans, Langfuse integration, Redis pub/sub event streaming, React trace viewer (WebSocket), Memory Explorer panel, cost/latency dashboard (Recharts)</w:t>
            </w:r>
          </w:p>
        </w:tc>
      </w:tr>
      <w:tr>
        <w:tc>
          <w:tcPr>
            <w:tcW w:type="dxa" w:w="14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6 — Benchmark &amp; Polish</w:t>
            </w:r>
          </w:p>
        </w:tc>
        <w:tc>
          <w:tcPr>
            <w:tcW w:type="dxa" w:w="1800"/>
            <w:tcBorders>
              <w:top w:val="single" w:color="CBD5E0" w:sz="1"/>
              <w:left w:val="single" w:color="CBD5E0" w:sz="1"/>
              <w:bottom w:val="single" w:color="CBD5E0" w:sz="1"/>
              <w:right w:val="single" w:color="CBD5E0" w:sz="1"/>
            </w:tcBorders>
            <w:tcMar>
              <w:top w:type="dxa" w:w="60"/>
              <w:left w:type="dxa" w:w="120"/>
              <w:bottom w:type="dxa" w:w="60"/>
              <w:right w:type="dxa" w:w="120"/>
            </w:tcMar>
          </w:tcPr>
          <w:p>
            <w:pPr>
              <w:jc w:val="center"/>
            </w:pPr>
            <w:r>
              <w:rPr>
                <w:rFonts w:ascii="Arial" w:cs="Arial" w:eastAsia="Arial" w:hAnsi="Arial"/>
                <w:color w:val="4A5568"/>
                <w:sz w:val="17"/>
                <w:szCs w:val="17"/>
              </w:rPr>
              <w:t xml:space="preserve">11–12</w:t>
            </w:r>
          </w:p>
        </w:tc>
        <w:tc>
          <w:tcPr>
            <w:tcW w:type="dxa" w:w="6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1A202C"/>
                <w:sz w:val="17"/>
                <w:szCs w:val="17"/>
              </w:rPr>
              <w:t xml:space="preserve">GAIA benchmark harness, prompt injection classifier, DPO preference store, Locust load test, README with architecture diagram and demo GIF, demo video recording</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6D6A0" w:val="clear"/>
            <w:tcMar>
              <w:top w:type="dxa" w:w="80"/>
              <w:left w:type="dxa" w:w="160"/>
              <w:bottom w:type="dxa" w:w="80"/>
              <w:right w:type="dxa" w:w="160"/>
            </w:tcMar>
          </w:tcPr>
          <w:p>
            <w:pPr>
              <w:jc w:val="center"/>
            </w:pPr>
            <w:r>
              <w:rPr>
                <w:rFonts w:ascii="Arial" w:cs="Arial" w:eastAsia="Arial" w:hAnsi="Arial"/>
                <w:b/>
                <w:bCs/>
                <w:color w:val="FFFFFF"/>
                <w:sz w:val="28"/>
                <w:szCs w:val="28"/>
              </w:rPr>
              <w:t xml:space="preserve">F</w:t>
            </w:r>
          </w:p>
        </w:tc>
        <w:tc>
          <w:tcPr>
            <w:tcW w:type="dxa" w:w="8460"/>
            <w:tcBorders>
              <w:top w:val="none" w:color="FFFFFF" w:sz="0"/>
              <w:left w:val="none" w:color="FFFFFF" w:sz="0"/>
              <w:bottom w:val="none" w:color="FFFFFF" w:sz="0"/>
              <w:right w:val="none" w:color="FFFFFF" w:sz="0"/>
            </w:tcBorders>
            <w:shd w:fill="F0F4F8" w:val="clear"/>
            <w:tcMar>
              <w:top w:type="dxa" w:w="80"/>
              <w:left w:type="dxa" w:w="200"/>
              <w:bottom w:type="dxa" w:w="80"/>
              <w:right w:type="dxa" w:w="160"/>
            </w:tcMar>
          </w:tcPr>
          <w:p>
            <w:r>
              <w:rPr>
                <w:rFonts w:ascii="Arial" w:cs="Arial" w:eastAsia="Arial" w:hAnsi="Arial"/>
                <w:b/>
                <w:bCs/>
                <w:color w:val="06D6A0"/>
                <w:sz w:val="24"/>
                <w:szCs w:val="24"/>
              </w:rPr>
              <w:t xml:space="preserve">RESUME IMPACT</w:t>
            </w:r>
          </w:p>
        </w:tc>
      </w:tr>
    </w:tbl>
    <w:p>
      <w:pPr>
        <w:spacing w:after="0" w:before="60"/>
      </w:pPr>
      <w:r>
        <w:t xml:space="preserve"/>
      </w:r>
    </w:p>
    <w:tbl>
      <w:tblPr>
        <w:tblW w:type="dxa" w:w="9360"/>
        <w:tblBorders>
          <w:top w:val="single" w:color="06D6A0" w:sz="3"/>
          <w:left w:val="single" w:color="06D6A0" w:sz="3"/>
          <w:bottom w:val="single" w:color="06D6A0" w:sz="3"/>
          <w:right w:val="single" w:color="06D6A0" w:sz="3"/>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FF4" w:val="clear"/>
            <w:tcMar>
              <w:top w:type="dxa" w:w="60"/>
              <w:left w:type="dxa" w:w="200"/>
              <w:bottom w:type="dxa" w:w="60"/>
              <w:right w:type="dxa" w:w="200"/>
            </w:tcMar>
          </w:tcPr>
          <w:p>
            <w:r>
              <w:rPr>
                <w:rFonts w:ascii="Arial" w:cs="Arial" w:eastAsia="Arial" w:hAnsi="Arial"/>
                <w:b/>
                <w:bCs/>
                <w:color w:val="06D6A0"/>
                <w:sz w:val="18"/>
                <w:szCs w:val="18"/>
              </w:rPr>
              <w:t xml:space="preserve">★  ELITE RESUME BULLETS</w:t>
            </w:r>
          </w:p>
        </w:tc>
      </w:tr>
      <w:tr>
        <w:tc>
          <w:tcPr>
            <w:tcW w:type="dxa" w:w="9360"/>
            <w:tcBorders>
              <w:top w:val="none" w:color="FFFFFF" w:sz="0"/>
              <w:left w:val="none" w:color="FFFFFF" w:sz="0"/>
              <w:bottom w:val="none" w:color="FFFFFF" w:sz="0"/>
              <w:right w:val="none" w:color="FFFFFF" w:sz="0"/>
            </w:tcBorders>
            <w:shd w:fill="F0FFF4"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Architected Synapse, a multi-agent orchestration platform (LangGraph + Celery) supporting supervisor–specialist topologies with 5 specialized agents, completing complex multi-step research and coding tasks autonomously with a 76% success rate on GAIA Level 1 benchmark — 18 points above single-agent GPT-4o baseline</w:t>
            </w:r>
          </w:p>
        </w:tc>
      </w:tr>
      <w:tr>
        <w:tc>
          <w:tcPr>
            <w:tcW w:type="dxa" w:w="9360"/>
            <w:tcBorders>
              <w:top w:val="none" w:color="FFFFFF" w:sz="0"/>
              <w:left w:val="none" w:color="FFFFFF" w:sz="0"/>
              <w:bottom w:val="none" w:color="FFFFFF" w:sz="0"/>
              <w:right w:val="none" w:color="FFFFFF" w:sz="0"/>
            </w:tcBorders>
            <w:shd w:fill="F0FFF4"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Engineered a two-tier memory system (Redis working memory + pgvector episodic recall with MMR re-ranking and automatic summarization), sustaining coherent agent context across 50+ turn sessions with &lt;15ms memory retrieval p99 over 100K stored chunks</w:t>
            </w:r>
          </w:p>
        </w:tc>
      </w:tr>
      <w:tr>
        <w:tc>
          <w:tcPr>
            <w:tcW w:type="dxa" w:w="9360"/>
            <w:tcBorders>
              <w:top w:val="none" w:color="FFFFFF" w:sz="0"/>
              <w:left w:val="none" w:color="FFFFFF" w:sz="0"/>
              <w:bottom w:val="none" w:color="FFFFFF" w:sz="0"/>
              <w:right w:val="none" w:color="FFFFFF" w:sz="0"/>
            </w:tcBorders>
            <w:shd w:fill="F0FFF4"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Built a real-time agent trace viewer (React + WebSocket) fed by OpenTelemetry spans and Langfuse LLM tracing, surfacing per-span cost and latency for every agent decision — reducing debugging time by ~65% during evaluation runs</w:t>
            </w:r>
          </w:p>
        </w:tc>
      </w:tr>
      <w:tr>
        <w:tc>
          <w:tcPr>
            <w:tcW w:type="dxa" w:w="9360"/>
            <w:tcBorders>
              <w:top w:val="none" w:color="FFFFFF" w:sz="0"/>
              <w:left w:val="none" w:color="FFFFFF" w:sz="0"/>
              <w:bottom w:val="none" w:color="FFFFFF" w:sz="0"/>
              <w:right w:val="none" w:color="FFFFFF" w:sz="0"/>
            </w:tcBorders>
            <w:shd w:fill="F0FFF4"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Implemented fault-tolerant async task execution (Celery + Redis) with idempotent task IDs, exponential-backoff dead-letter recovery, per-task budget enforcement, and loop detection — achieving zero task loss across 10,000 simulated runs with injected tool failures</w:t>
            </w:r>
          </w:p>
        </w:tc>
      </w:tr>
      <w:tr>
        <w:tc>
          <w:tcPr>
            <w:tcW w:type="dxa" w:w="9360"/>
            <w:tcBorders>
              <w:top w:val="none" w:color="FFFFFF" w:sz="0"/>
              <w:left w:val="none" w:color="FFFFFF" w:sz="0"/>
              <w:bottom w:val="none" w:color="FFFFFF" w:sz="0"/>
              <w:right w:val="none" w:color="FFFFFF" w:sz="0"/>
            </w:tcBorders>
            <w:shd w:fill="F0FFF4"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Deployed multi-provider LLM router (OpenAI, Anthropic, Groq) with complexity-based model selection and semantic deduplication cache (pgvector cosine similarity, threshold 0.92), reducing redundant LLM spend by ~41% against a no-cache baseline in load tests</w:t>
            </w:r>
          </w:p>
        </w:tc>
      </w:tr>
      <w:tr>
        <w:tc>
          <w:tcPr>
            <w:tcW w:type="dxa" w:w="9360"/>
            <w:tcBorders>
              <w:top w:val="none" w:color="FFFFFF" w:sz="0"/>
              <w:left w:val="none" w:color="FFFFFF" w:sz="0"/>
              <w:bottom w:val="none" w:color="FFFFFF" w:sz="0"/>
              <w:right w:val="none" w:color="FFFFFF" w:sz="0"/>
            </w:tcBorders>
            <w:shd w:fill="F0FFF4"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Designed and evaluated against GAIA Level 1 benchmark with automated regression tracking across model versions, establishing a reproducible evaluation pipeline maintained across every deployment</w:t>
            </w:r>
          </w:p>
        </w:tc>
      </w:tr>
    </w:tbl>
    <w:p>
      <w:pPr>
        <w:spacing w:after="0" w:before="60"/>
      </w:pPr>
      <w:r>
        <w:t xml:space="preserve"/>
      </w:r>
    </w:p>
    <w:p>
      <w:pPr>
        <w:pStyle w:val="Heading3"/>
        <w:spacing w:after="60" w:before="200"/>
      </w:pPr>
      <w:r>
        <w:rPr>
          <w:rFonts w:ascii="Arial" w:cs="Arial" w:eastAsia="Arial" w:hAnsi="Arial"/>
          <w:b/>
          <w:bCs/>
          <w:color w:val="E94560"/>
          <w:sz w:val="22"/>
          <w:szCs w:val="22"/>
        </w:rPr>
        <w:t xml:space="preserve">Measurable KPIs to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Task success rate</w:t>
            </w:r>
          </w:p>
        </w:tc>
        <w:tc>
          <w:tcPr>
            <w:tcW w:type="dxa" w:w="65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76%+ on GAIA Level 1 (cite the benchmark by name — recruiters in AI roles know it)</w:t>
            </w:r>
          </w:p>
        </w:tc>
      </w:tr>
      <w:tr>
        <w:tc>
          <w:tcPr>
            <w:tcW w:type="dxa" w:w="28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p95 agent latency</w:t>
            </w:r>
          </w:p>
        </w:tc>
        <w:tc>
          <w:tcPr>
            <w:tcW w:type="dxa" w:w="65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&lt;2s for 3-step chains under 50 concurrent users (Locust load test)</w:t>
            </w:r>
          </w:p>
        </w:tc>
      </w:tr>
      <w:tr>
        <w:tc>
          <w:tcPr>
            <w:tcW w:type="dxa" w:w="28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Memory retrieval p99</w:t>
            </w:r>
          </w:p>
        </w:tc>
        <w:tc>
          <w:tcPr>
            <w:tcW w:type="dxa" w:w="65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&lt;15ms across 100K stored episodic chunks (pgvector ANN index)</w:t>
            </w:r>
          </w:p>
        </w:tc>
      </w:tr>
      <w:tr>
        <w:tc>
          <w:tcPr>
            <w:tcW w:type="dxa" w:w="28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Cost reduction</w:t>
            </w:r>
          </w:p>
        </w:tc>
        <w:tc>
          <w:tcPr>
            <w:tcW w:type="dxa" w:w="65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~41% vs. no-cache baseline (measured via Langfuse cost tracking per provider)</w:t>
            </w:r>
          </w:p>
        </w:tc>
      </w:tr>
      <w:tr>
        <w:tc>
          <w:tcPr>
            <w:tcW w:type="dxa" w:w="28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Fault tolerance</w:t>
            </w:r>
          </w:p>
        </w:tc>
        <w:tc>
          <w:tcPr>
            <w:tcW w:type="dxa" w:w="65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Zero task loss across 10,000 simulated runs with randomly injected tool failures</w:t>
            </w:r>
          </w:p>
        </w:tc>
      </w:tr>
      <w:tr>
        <w:tc>
          <w:tcPr>
            <w:tcW w:type="dxa" w:w="28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Injection block rate</w:t>
            </w:r>
          </w:p>
        </w:tc>
        <w:tc>
          <w:tcPr>
            <w:tcW w:type="dxa" w:w="65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95%+ detection on a 30-sample hand-curated prompt injection test set</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94560" w:val="clear"/>
            <w:tcMar>
              <w:top w:type="dxa" w:w="80"/>
              <w:left w:type="dxa" w:w="160"/>
              <w:bottom w:type="dxa" w:w="80"/>
              <w:right w:type="dxa" w:w="160"/>
            </w:tcMar>
          </w:tcPr>
          <w:p>
            <w:pPr>
              <w:jc w:val="center"/>
            </w:pPr>
            <w:r>
              <w:rPr>
                <w:rFonts w:ascii="Arial" w:cs="Arial" w:eastAsia="Arial" w:hAnsi="Arial"/>
                <w:b/>
                <w:bCs/>
                <w:color w:val="FFFFFF"/>
                <w:sz w:val="28"/>
                <w:szCs w:val="28"/>
              </w:rPr>
              <w:t xml:space="preserve">G</w:t>
            </w:r>
          </w:p>
        </w:tc>
        <w:tc>
          <w:tcPr>
            <w:tcW w:type="dxa" w:w="8460"/>
            <w:tcBorders>
              <w:top w:val="none" w:color="FFFFFF" w:sz="0"/>
              <w:left w:val="none" w:color="FFFFFF" w:sz="0"/>
              <w:bottom w:val="none" w:color="FFFFFF" w:sz="0"/>
              <w:right w:val="none" w:color="FFFFFF" w:sz="0"/>
            </w:tcBorders>
            <w:shd w:fill="F0F4F8" w:val="clear"/>
            <w:tcMar>
              <w:top w:type="dxa" w:w="80"/>
              <w:left w:type="dxa" w:w="200"/>
              <w:bottom w:type="dxa" w:w="80"/>
              <w:right w:type="dxa" w:w="160"/>
            </w:tcMar>
          </w:tcPr>
          <w:p>
            <w:r>
              <w:rPr>
                <w:rFonts w:ascii="Arial" w:cs="Arial" w:eastAsia="Arial" w:hAnsi="Arial"/>
                <w:b/>
                <w:bCs/>
                <w:color w:val="E94560"/>
                <w:sz w:val="24"/>
                <w:szCs w:val="24"/>
              </w:rPr>
              <w:t xml:space="preserve">INTERVIEW PREP VALUE</w:t>
            </w:r>
          </w:p>
        </w:tc>
      </w:tr>
    </w:tbl>
    <w:p>
      <w:pPr>
        <w:spacing w:after="0" w:before="60"/>
      </w:pPr>
      <w:r>
        <w:t xml:space="preserve"/>
      </w:r>
    </w:p>
    <w:p>
      <w:pPr>
        <w:pStyle w:val="Heading3"/>
        <w:spacing w:after="60" w:before="200"/>
      </w:pPr>
      <w:r>
        <w:rPr>
          <w:rFonts w:ascii="Arial" w:cs="Arial" w:eastAsia="Arial" w:hAnsi="Arial"/>
          <w:b/>
          <w:bCs/>
          <w:color w:val="E94560"/>
          <w:sz w:val="22"/>
          <w:szCs w:val="22"/>
        </w:rPr>
        <w:t xml:space="preserve">What to Demo in Interviews</w:t>
      </w:r>
    </w:p>
    <w:p>
      <w:pPr>
        <w:pStyle w:val="ListParagraph"/>
        <w:numPr>
          <w:ilvl w:val="0"/>
          <w:numId w:val="2"/>
        </w:numPr>
        <w:spacing w:after="30" w:before="30"/>
      </w:pPr>
      <w:r>
        <w:rPr>
          <w:rFonts w:ascii="Arial" w:cs="Arial" w:eastAsia="Arial" w:hAnsi="Arial"/>
          <w:color w:val="1A202C"/>
          <w:sz w:val="20"/>
          <w:szCs w:val="20"/>
        </w:rPr>
        <w:t xml:space="preserve">Give the agent a LIVE task during the interview — "Research the top 3 vector database companies, compare their pricing tiers, and write a one-page technical summary." Open the trace viewer and let the interviewer watch every decision happen in real time. This moment is unforgettable.</w:t>
      </w:r>
    </w:p>
    <w:p>
      <w:pPr>
        <w:pStyle w:val="ListParagraph"/>
        <w:numPr>
          <w:ilvl w:val="0"/>
          <w:numId w:val="2"/>
        </w:numPr>
        <w:spacing w:after="30" w:before="30"/>
      </w:pPr>
      <w:r>
        <w:rPr>
          <w:rFonts w:ascii="Arial" w:cs="Arial" w:eastAsia="Arial" w:hAnsi="Arial"/>
          <w:color w:val="1A202C"/>
          <w:sz w:val="20"/>
          <w:szCs w:val="20"/>
        </w:rPr>
        <w:t xml:space="preserve">Show the memory system working: submit a task, end the session, reopen and ask a follow-up that requires context from the previous session. The memory recall happens live — show the Memory Explorer panel retrieving the relevant chunks with similarity scores.</w:t>
      </w:r>
    </w:p>
    <w:p>
      <w:pPr>
        <w:pStyle w:val="ListParagraph"/>
        <w:numPr>
          <w:ilvl w:val="0"/>
          <w:numId w:val="2"/>
        </w:numPr>
        <w:spacing w:after="30" w:before="30"/>
      </w:pPr>
      <w:r>
        <w:rPr>
          <w:rFonts w:ascii="Arial" w:cs="Arial" w:eastAsia="Arial" w:hAnsi="Arial"/>
          <w:color w:val="1A202C"/>
          <w:sz w:val="20"/>
          <w:szCs w:val="20"/>
        </w:rPr>
        <w:t xml:space="preserve">Trigger a failure on purpose: point the web tool at a broken URL, show the dead-letter queue catch it, the retry execute with a fallback, and the task complete successfully. Walk through the error node in the trace viewer.</w:t>
      </w:r>
    </w:p>
    <w:p>
      <w:pPr>
        <w:pStyle w:val="ListParagraph"/>
        <w:numPr>
          <w:ilvl w:val="0"/>
          <w:numId w:val="2"/>
        </w:numPr>
        <w:spacing w:after="30" w:before="30"/>
      </w:pPr>
      <w:r>
        <w:rPr>
          <w:rFonts w:ascii="Arial" w:cs="Arial" w:eastAsia="Arial" w:hAnsi="Arial"/>
          <w:color w:val="1A202C"/>
          <w:sz w:val="20"/>
          <w:szCs w:val="20"/>
        </w:rPr>
        <w:t xml:space="preserve">Open the Langfuse dashboard and walk through the cost breakdown of a 5-step agent run: total cost, cost per agent, most expensive tool call, and where latency was highest. Shows you think in systems, not just code.</w:t>
      </w:r>
    </w:p>
    <w:p>
      <w:pPr>
        <w:pStyle w:val="ListParagraph"/>
        <w:numPr>
          <w:ilvl w:val="0"/>
          <w:numId w:val="2"/>
        </w:numPr>
        <w:spacing w:after="30" w:before="30"/>
      </w:pPr>
      <w:r>
        <w:rPr>
          <w:rFonts w:ascii="Arial" w:cs="Arial" w:eastAsia="Arial" w:hAnsi="Arial"/>
          <w:color w:val="1A202C"/>
          <w:sz w:val="20"/>
          <w:szCs w:val="20"/>
        </w:rPr>
        <w:t xml:space="preserve">Show the GAIA benchmark score dashboard with your pass rate over time across multiple model versions — proves you have an engineering evaluation mindset, not just "it works on my machine."</w:t>
      </w:r>
    </w:p>
    <w:p>
      <w:pPr>
        <w:spacing w:after="0" w:before="40"/>
      </w:pPr>
      <w:r>
        <w:t xml:space="preserve"/>
      </w:r>
    </w:p>
    <w:p>
      <w:pPr>
        <w:pStyle w:val="Heading3"/>
        <w:spacing w:after="60" w:before="200"/>
      </w:pPr>
      <w:r>
        <w:rPr>
          <w:rFonts w:ascii="Arial" w:cs="Arial" w:eastAsia="Arial" w:hAnsi="Arial"/>
          <w:b/>
          <w:bCs/>
          <w:color w:val="E94560"/>
          <w:sz w:val="22"/>
          <w:szCs w:val="22"/>
        </w:rPr>
        <w:t xml:space="preserve">System Design Questions This Project Prepares You For</w:t>
      </w:r>
    </w:p>
    <w:p>
      <w:pPr>
        <w:pStyle w:val="ListParagraph"/>
        <w:numPr>
          <w:ilvl w:val="0"/>
          <w:numId w:val="2"/>
        </w:numPr>
        <w:spacing w:after="30" w:before="30"/>
      </w:pPr>
      <w:r>
        <w:rPr>
          <w:rFonts w:ascii="Arial" w:cs="Arial" w:eastAsia="Arial" w:hAnsi="Arial"/>
          <w:color w:val="1A202C"/>
          <w:sz w:val="20"/>
          <w:szCs w:val="20"/>
        </w:rPr>
        <w:t xml:space="preserve">"Design a task automation system that can browse the web and execute code."</w:t>
      </w:r>
    </w:p>
    <w:p>
      <w:pPr>
        <w:pStyle w:val="ListParagraph"/>
        <w:numPr>
          <w:ilvl w:val="0"/>
          <w:numId w:val="2"/>
        </w:numPr>
        <w:spacing w:after="30" w:before="30"/>
      </w:pPr>
      <w:r>
        <w:rPr>
          <w:rFonts w:ascii="Arial" w:cs="Arial" w:eastAsia="Arial" w:hAnsi="Arial"/>
          <w:color w:val="1A202C"/>
          <w:sz w:val="20"/>
          <w:szCs w:val="20"/>
        </w:rPr>
        <w:t xml:space="preserve">"How would you build a multi-agent system that doesn't run up infinite API costs?"</w:t>
      </w:r>
    </w:p>
    <w:p>
      <w:pPr>
        <w:pStyle w:val="ListParagraph"/>
        <w:numPr>
          <w:ilvl w:val="0"/>
          <w:numId w:val="2"/>
        </w:numPr>
        <w:spacing w:after="30" w:before="30"/>
      </w:pPr>
      <w:r>
        <w:rPr>
          <w:rFonts w:ascii="Arial" w:cs="Arial" w:eastAsia="Arial" w:hAnsi="Arial"/>
          <w:color w:val="1A202C"/>
          <w:sz w:val="20"/>
          <w:szCs w:val="20"/>
        </w:rPr>
        <w:t xml:space="preserve">"How do you make an LLM-based pipeline fault tolerant at scale?"</w:t>
      </w:r>
    </w:p>
    <w:p>
      <w:pPr>
        <w:pStyle w:val="ListParagraph"/>
        <w:numPr>
          <w:ilvl w:val="0"/>
          <w:numId w:val="2"/>
        </w:numPr>
        <w:spacing w:after="30" w:before="30"/>
      </w:pPr>
      <w:r>
        <w:rPr>
          <w:rFonts w:ascii="Arial" w:cs="Arial" w:eastAsia="Arial" w:hAnsi="Arial"/>
          <w:color w:val="1A202C"/>
          <w:sz w:val="20"/>
          <w:szCs w:val="20"/>
        </w:rPr>
        <w:t xml:space="preserve">"Design an observability system for an AI agent pipeline."</w:t>
      </w:r>
    </w:p>
    <w:p>
      <w:pPr>
        <w:pStyle w:val="ListParagraph"/>
        <w:numPr>
          <w:ilvl w:val="0"/>
          <w:numId w:val="2"/>
        </w:numPr>
        <w:spacing w:after="30" w:before="30"/>
      </w:pPr>
      <w:r>
        <w:rPr>
          <w:rFonts w:ascii="Arial" w:cs="Arial" w:eastAsia="Arial" w:hAnsi="Arial"/>
          <w:color w:val="1A202C"/>
          <w:sz w:val="20"/>
          <w:szCs w:val="20"/>
        </w:rPr>
        <w:t xml:space="preserve">"How would you implement persistent memory for a conversational AI system?"</w:t>
      </w:r>
    </w:p>
    <w:p>
      <w:pPr>
        <w:pStyle w:val="ListParagraph"/>
        <w:numPr>
          <w:ilvl w:val="0"/>
          <w:numId w:val="2"/>
        </w:numPr>
        <w:spacing w:after="30" w:before="30"/>
      </w:pPr>
      <w:r>
        <w:rPr>
          <w:rFonts w:ascii="Arial" w:cs="Arial" w:eastAsia="Arial" w:hAnsi="Arial"/>
          <w:color w:val="1A202C"/>
          <w:sz w:val="20"/>
          <w:szCs w:val="20"/>
        </w:rPr>
        <w:t xml:space="preserve">"How do you prevent prompt injection in an agent that reads external content?"</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3460" w:val="clear"/>
            <w:tcMar>
              <w:top w:type="dxa" w:w="80"/>
              <w:left w:type="dxa" w:w="160"/>
              <w:bottom w:type="dxa" w:w="80"/>
              <w:right w:type="dxa" w:w="160"/>
            </w:tcMar>
          </w:tcPr>
          <w:p>
            <w:pPr>
              <w:jc w:val="center"/>
            </w:pPr>
            <w:r>
              <w:rPr>
                <w:rFonts w:ascii="Arial" w:cs="Arial" w:eastAsia="Arial" w:hAnsi="Arial"/>
                <w:b/>
                <w:bCs/>
                <w:color w:val="FFFFFF"/>
                <w:sz w:val="28"/>
                <w:szCs w:val="28"/>
              </w:rPr>
              <w:t xml:space="preserve">H</w:t>
            </w:r>
          </w:p>
        </w:tc>
        <w:tc>
          <w:tcPr>
            <w:tcW w:type="dxa" w:w="8460"/>
            <w:tcBorders>
              <w:top w:val="none" w:color="FFFFFF" w:sz="0"/>
              <w:left w:val="none" w:color="FFFFFF" w:sz="0"/>
              <w:bottom w:val="none" w:color="FFFFFF" w:sz="0"/>
              <w:right w:val="none" w:color="FFFFFF" w:sz="0"/>
            </w:tcBorders>
            <w:shd w:fill="F0F4F8" w:val="clear"/>
            <w:tcMar>
              <w:top w:type="dxa" w:w="80"/>
              <w:left w:type="dxa" w:w="200"/>
              <w:bottom w:type="dxa" w:w="80"/>
              <w:right w:type="dxa" w:w="160"/>
            </w:tcMar>
          </w:tcPr>
          <w:p>
            <w:r>
              <w:rPr>
                <w:rFonts w:ascii="Arial" w:cs="Arial" w:eastAsia="Arial" w:hAnsi="Arial"/>
                <w:b/>
                <w:bCs/>
                <w:color w:val="0F3460"/>
                <w:sz w:val="24"/>
                <w:szCs w:val="24"/>
              </w:rPr>
              <w:t xml:space="preserve">TECH STACK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BD5E0" w:sz="1"/>
              <w:left w:val="single" w:color="CBD5E0" w:sz="1"/>
              <w:bottom w:val="single" w:color="CBD5E0" w:sz="1"/>
              <w:right w:val="single" w:color="CBD5E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CBD5E0" w:sz="1"/>
              <w:left w:val="single" w:color="CBD5E0" w:sz="1"/>
              <w:bottom w:val="single" w:color="CBD5E0" w:sz="1"/>
              <w:right w:val="single" w:color="CBD5E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160"/>
            <w:tcBorders>
              <w:top w:val="single" w:color="CBD5E0" w:sz="1"/>
              <w:left w:val="single" w:color="CBD5E0" w:sz="1"/>
              <w:bottom w:val="single" w:color="CBD5E0" w:sz="1"/>
              <w:right w:val="single" w:color="CBD5E0"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Why This Choice</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Orchestration</w:t>
            </w:r>
          </w:p>
        </w:tc>
        <w:tc>
          <w:tcPr>
            <w:tcW w:type="dxa" w:w="320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b/>
                <w:bCs/>
                <w:color w:val="1A202C"/>
                <w:sz w:val="17"/>
                <w:szCs w:val="17"/>
              </w:rPr>
              <w:t xml:space="preserve">LangGraph 0.2</w:t>
            </w:r>
          </w:p>
        </w:tc>
        <w:tc>
          <w:tcPr>
            <w:tcW w:type="dxa" w:w="4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4A5568"/>
                <w:sz w:val="17"/>
                <w:szCs w:val="17"/>
              </w:rPr>
              <w:t xml:space="preserve">Stateful agent graphs with typed nodes and checkpointing — the 2026 industry standard, used at Replit, Elastic, and Cohere</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LLM Providers</w:t>
            </w:r>
          </w:p>
        </w:tc>
        <w:tc>
          <w:tcPr>
            <w:tcW w:type="dxa" w:w="320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b/>
                <w:bCs/>
                <w:color w:val="1A202C"/>
                <w:sz w:val="17"/>
                <w:szCs w:val="17"/>
              </w:rPr>
              <w:t xml:space="preserve">OpenAI GPT-4o + Anthropic Claude + Groq</w:t>
            </w:r>
          </w:p>
        </w:tc>
        <w:tc>
          <w:tcPr>
            <w:tcW w:type="dxa" w:w="4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4A5568"/>
                <w:sz w:val="17"/>
                <w:szCs w:val="17"/>
              </w:rPr>
              <w:t xml:space="preserve">Multi-provider demonstrates cost optimization thinking; Groq for low-latency sub-tasks</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Memory — Hot</w:t>
            </w:r>
          </w:p>
        </w:tc>
        <w:tc>
          <w:tcPr>
            <w:tcW w:type="dxa" w:w="320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b/>
                <w:bCs/>
                <w:color w:val="1A202C"/>
                <w:sz w:val="17"/>
                <w:szCs w:val="17"/>
              </w:rPr>
              <w:t xml:space="preserve">Redis 7</w:t>
            </w:r>
          </w:p>
        </w:tc>
        <w:tc>
          <w:tcPr>
            <w:tcW w:type="dxa" w:w="4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4A5568"/>
                <w:sz w:val="17"/>
                <w:szCs w:val="17"/>
              </w:rPr>
              <w:t xml:space="preserve">Sub-ms working memory for active sessions; TTL-evicted after session end; pub/sub for trace streaming</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Memory — Cold</w:t>
            </w:r>
          </w:p>
        </w:tc>
        <w:tc>
          <w:tcPr>
            <w:tcW w:type="dxa" w:w="320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b/>
                <w:bCs/>
                <w:color w:val="1A202C"/>
                <w:sz w:val="17"/>
                <w:szCs w:val="17"/>
              </w:rPr>
              <w:t xml:space="preserve">pgvector (Supabase)</w:t>
            </w:r>
          </w:p>
        </w:tc>
        <w:tc>
          <w:tcPr>
            <w:tcW w:type="dxa" w:w="4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4A5568"/>
                <w:sz w:val="17"/>
                <w:szCs w:val="17"/>
              </w:rPr>
              <w:t xml:space="preserve">Episodic long-term store with cosine ANN index; same stack as InferMesh — proven combination</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Task Queue</w:t>
            </w:r>
          </w:p>
        </w:tc>
        <w:tc>
          <w:tcPr>
            <w:tcW w:type="dxa" w:w="320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b/>
                <w:bCs/>
                <w:color w:val="1A202C"/>
                <w:sz w:val="17"/>
                <w:szCs w:val="17"/>
              </w:rPr>
              <w:t xml:space="preserve">Celery 5 + Redis Broker</w:t>
            </w:r>
          </w:p>
        </w:tc>
        <w:tc>
          <w:tcPr>
            <w:tcW w:type="dxa" w:w="4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4A5568"/>
                <w:sz w:val="17"/>
                <w:szCs w:val="17"/>
              </w:rPr>
              <w:t xml:space="preserve">Industry-standard Python async task queue; horizontally scalable without coordination overhead</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Tool Sandbox</w:t>
            </w:r>
          </w:p>
        </w:tc>
        <w:tc>
          <w:tcPr>
            <w:tcW w:type="dxa" w:w="320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b/>
                <w:bCs/>
                <w:color w:val="1A202C"/>
                <w:sz w:val="17"/>
                <w:szCs w:val="17"/>
              </w:rPr>
              <w:t xml:space="preserve">E2B (cloud) / Docker exec</w:t>
            </w:r>
          </w:p>
        </w:tc>
        <w:tc>
          <w:tcPr>
            <w:tcW w:type="dxa" w:w="4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4A5568"/>
                <w:sz w:val="17"/>
                <w:szCs w:val="17"/>
              </w:rPr>
              <w:t xml:space="preserve">E2B for safe cloud code execution; Docker exec for local dev parity</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Observability</w:t>
            </w:r>
          </w:p>
        </w:tc>
        <w:tc>
          <w:tcPr>
            <w:tcW w:type="dxa" w:w="320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b/>
                <w:bCs/>
                <w:color w:val="1A202C"/>
                <w:sz w:val="17"/>
                <w:szCs w:val="17"/>
              </w:rPr>
              <w:t xml:space="preserve">OpenTelemetry + Langfuse</w:t>
            </w:r>
          </w:p>
        </w:tc>
        <w:tc>
          <w:tcPr>
            <w:tcW w:type="dxa" w:w="4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4A5568"/>
                <w:sz w:val="17"/>
                <w:szCs w:val="17"/>
              </w:rPr>
              <w:t xml:space="preserve">OTel = CNCF standard for distributed tracing; Langfuse = leading open-source LLM observability</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Backend</w:t>
            </w:r>
          </w:p>
        </w:tc>
        <w:tc>
          <w:tcPr>
            <w:tcW w:type="dxa" w:w="320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b/>
                <w:bCs/>
                <w:color w:val="1A202C"/>
                <w:sz w:val="17"/>
                <w:szCs w:val="17"/>
              </w:rPr>
              <w:t xml:space="preserve">FastAPI + PostgreSQL</w:t>
            </w:r>
          </w:p>
        </w:tc>
        <w:tc>
          <w:tcPr>
            <w:tcW w:type="dxa" w:w="4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4A5568"/>
                <w:sz w:val="17"/>
                <w:szCs w:val="17"/>
              </w:rPr>
              <w:t xml:space="preserve">High-performance async Python API; PostgreSQL for task history, audit log, DPO pairs</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Frontend</w:t>
            </w:r>
          </w:p>
        </w:tc>
        <w:tc>
          <w:tcPr>
            <w:tcW w:type="dxa" w:w="320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b/>
                <w:bCs/>
                <w:color w:val="1A202C"/>
                <w:sz w:val="17"/>
                <w:szCs w:val="17"/>
              </w:rPr>
              <w:t xml:space="preserve">React + TypeScript + Recharts</w:t>
            </w:r>
          </w:p>
        </w:tc>
        <w:tc>
          <w:tcPr>
            <w:tcW w:type="dxa" w:w="4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4A5568"/>
                <w:sz w:val="17"/>
                <w:szCs w:val="17"/>
              </w:rPr>
              <w:t xml:space="preserve">WebSocket trace viewer; React Flow (optional) for visual graph layout; Recharts for cost charts</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Deployment</w:t>
            </w:r>
          </w:p>
        </w:tc>
        <w:tc>
          <w:tcPr>
            <w:tcW w:type="dxa" w:w="320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b/>
                <w:bCs/>
                <w:color w:val="1A202C"/>
                <w:sz w:val="17"/>
                <w:szCs w:val="17"/>
              </w:rPr>
              <w:t xml:space="preserve">Render (backend) + Vercel (FE)</w:t>
            </w:r>
          </w:p>
        </w:tc>
        <w:tc>
          <w:tcPr>
            <w:tcW w:type="dxa" w:w="4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4A5568"/>
                <w:sz w:val="17"/>
                <w:szCs w:val="17"/>
              </w:rPr>
              <w:t xml:space="preserve">Consistent with your existing deployed projects; Docker for portability</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CI/CD</w:t>
            </w:r>
          </w:p>
        </w:tc>
        <w:tc>
          <w:tcPr>
            <w:tcW w:type="dxa" w:w="320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b/>
                <w:bCs/>
                <w:color w:val="1A202C"/>
                <w:sz w:val="17"/>
                <w:szCs w:val="17"/>
              </w:rPr>
              <w:t xml:space="preserve">GitHub Actions</w:t>
            </w:r>
          </w:p>
        </w:tc>
        <w:tc>
          <w:tcPr>
            <w:tcW w:type="dxa" w:w="4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4A5568"/>
                <w:sz w:val="17"/>
                <w:szCs w:val="17"/>
              </w:rPr>
              <w:t xml:space="preserve">Build, test, lint, Docker image push on every commit to main</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Load Testing</w:t>
            </w:r>
          </w:p>
        </w:tc>
        <w:tc>
          <w:tcPr>
            <w:tcW w:type="dxa" w:w="320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b/>
                <w:bCs/>
                <w:color w:val="1A202C"/>
                <w:sz w:val="17"/>
                <w:szCs w:val="17"/>
              </w:rPr>
              <w:t xml:space="preserve">Locust</w:t>
            </w:r>
          </w:p>
        </w:tc>
        <w:tc>
          <w:tcPr>
            <w:tcW w:type="dxa" w:w="4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4A5568"/>
                <w:sz w:val="17"/>
                <w:szCs w:val="17"/>
              </w:rPr>
              <w:t xml:space="preserve">Python-native; generates the p95 latency numbers you cite on your resume</w:t>
            </w:r>
          </w:p>
        </w:tc>
      </w:tr>
      <w:tr>
        <w:tc>
          <w:tcPr>
            <w:tcW w:type="dxa" w:w="2000"/>
            <w:tcBorders>
              <w:top w:val="single" w:color="CBD5E0" w:sz="1"/>
              <w:left w:val="single" w:color="CBD5E0" w:sz="1"/>
              <w:bottom w:val="single" w:color="CBD5E0" w:sz="1"/>
              <w:right w:val="single" w:color="CBD5E0" w:sz="1"/>
            </w:tcBorders>
            <w:shd w:fill="F0F4F8" w:val="clear"/>
            <w:tcMar>
              <w:top w:type="dxa" w:w="60"/>
              <w:left w:type="dxa" w:w="120"/>
              <w:bottom w:type="dxa" w:w="60"/>
              <w:right w:type="dxa" w:w="120"/>
            </w:tcMar>
          </w:tcPr>
          <w:p>
            <w:r>
              <w:rPr>
                <w:rFonts w:ascii="Arial" w:cs="Arial" w:eastAsia="Arial" w:hAnsi="Arial"/>
                <w:b/>
                <w:bCs/>
                <w:color w:val="0F3460"/>
                <w:sz w:val="17"/>
                <w:szCs w:val="17"/>
              </w:rPr>
              <w:t xml:space="preserve">Benchmarking</w:t>
            </w:r>
          </w:p>
        </w:tc>
        <w:tc>
          <w:tcPr>
            <w:tcW w:type="dxa" w:w="320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b/>
                <w:bCs/>
                <w:color w:val="1A202C"/>
                <w:sz w:val="17"/>
                <w:szCs w:val="17"/>
              </w:rPr>
              <w:t xml:space="preserve">GAIA (Meta/HuggingFace)</w:t>
            </w:r>
          </w:p>
        </w:tc>
        <w:tc>
          <w:tcPr>
            <w:tcW w:type="dxa" w:w="4160"/>
            <w:tcBorders>
              <w:top w:val="single" w:color="CBD5E0" w:sz="1"/>
              <w:left w:val="single" w:color="CBD5E0" w:sz="1"/>
              <w:bottom w:val="single" w:color="CBD5E0" w:sz="1"/>
              <w:right w:val="single" w:color="CBD5E0" w:sz="1"/>
            </w:tcBorders>
            <w:tcMar>
              <w:top w:type="dxa" w:w="60"/>
              <w:left w:type="dxa" w:w="120"/>
              <w:bottom w:type="dxa" w:w="60"/>
              <w:right w:type="dxa" w:w="120"/>
            </w:tcMar>
          </w:tcPr>
          <w:p>
            <w:r>
              <w:rPr>
                <w:rFonts w:ascii="Arial" w:cs="Arial" w:eastAsia="Arial" w:hAnsi="Arial"/>
                <w:color w:val="4A5568"/>
                <w:sz w:val="17"/>
                <w:szCs w:val="17"/>
              </w:rPr>
              <w:t xml:space="preserve">Public agent benchmark — externally validated accuracy number, not self-reported</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pPr>
              <w:jc w:val="center"/>
            </w:pPr>
            <w:r>
              <w:rPr>
                <w:rFonts w:ascii="Arial" w:cs="Arial" w:eastAsia="Arial" w:hAnsi="Arial"/>
                <w:b/>
                <w:bCs/>
                <w:color w:val="FFFFFF"/>
                <w:sz w:val="28"/>
                <w:szCs w:val="28"/>
              </w:rPr>
              <w:t xml:space="preserve">I</w:t>
            </w:r>
          </w:p>
        </w:tc>
        <w:tc>
          <w:tcPr>
            <w:tcW w:type="dxa" w:w="8460"/>
            <w:tcBorders>
              <w:top w:val="none" w:color="FFFFFF" w:sz="0"/>
              <w:left w:val="none" w:color="FFFFFF" w:sz="0"/>
              <w:bottom w:val="none" w:color="FFFFFF" w:sz="0"/>
              <w:right w:val="none" w:color="FFFFFF" w:sz="0"/>
            </w:tcBorders>
            <w:shd w:fill="F0F4F8" w:val="clear"/>
            <w:tcMar>
              <w:top w:type="dxa" w:w="80"/>
              <w:left w:type="dxa" w:w="200"/>
              <w:bottom w:type="dxa" w:w="80"/>
              <w:right w:type="dxa" w:w="160"/>
            </w:tcMar>
          </w:tcPr>
          <w:p>
            <w:r>
              <w:rPr>
                <w:rFonts w:ascii="Arial" w:cs="Arial" w:eastAsia="Arial" w:hAnsi="Arial"/>
                <w:b/>
                <w:bCs/>
                <w:color w:val="1A1A2E"/>
                <w:sz w:val="24"/>
                <w:szCs w:val="24"/>
              </w:rPr>
              <w:t xml:space="preserve">DIFFERENTIATION</w:t>
            </w:r>
          </w:p>
        </w:tc>
      </w:tr>
    </w:tbl>
    <w:p>
      <w:pPr>
        <w:spacing w:after="0" w:before="60"/>
      </w:pPr>
      <w:r>
        <w:t xml:space="preserve"/>
      </w:r>
    </w:p>
    <w:tbl>
      <w:tblPr>
        <w:tblW w:type="dxa" w:w="9360"/>
        <w:tblBorders>
          <w:top w:val="single" w:color="E94560" w:sz="3"/>
          <w:left w:val="single" w:color="E94560" w:sz="3"/>
          <w:bottom w:val="single" w:color="E94560" w:sz="3"/>
          <w:right w:val="single" w:color="E94560" w:sz="3"/>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5F5" w:val="clear"/>
            <w:tcMar>
              <w:top w:type="dxa" w:w="60"/>
              <w:left w:type="dxa" w:w="200"/>
              <w:bottom w:type="dxa" w:w="60"/>
              <w:right w:type="dxa" w:w="200"/>
            </w:tcMar>
          </w:tcPr>
          <w:p>
            <w:r>
              <w:rPr>
                <w:rFonts w:ascii="Arial" w:cs="Arial" w:eastAsia="Arial" w:hAnsi="Arial"/>
                <w:b/>
                <w:bCs/>
                <w:color w:val="E94560"/>
                <w:sz w:val="18"/>
                <w:szCs w:val="18"/>
              </w:rPr>
              <w:t xml:space="preserve">✗  What 99% of students build (and what you are NOT building)</w:t>
            </w:r>
          </w:p>
        </w:tc>
      </w:tr>
      <w:tr>
        <w:tc>
          <w:tcPr>
            <w:tcW w:type="dxa" w:w="9360"/>
            <w:tcBorders>
              <w:top w:val="none" w:color="FFFFFF" w:sz="0"/>
              <w:left w:val="none" w:color="FFFFFF" w:sz="0"/>
              <w:bottom w:val="none" w:color="FFFFFF" w:sz="0"/>
              <w:right w:val="none" w:color="FFFFFF" w:sz="0"/>
            </w:tcBorders>
            <w:shd w:fill="FFF5F5"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Call OpenAI API in a loop and call it an "agent" — no memory, no fault tolerance, no observability</w:t>
            </w:r>
          </w:p>
        </w:tc>
      </w:tr>
      <w:tr>
        <w:tc>
          <w:tcPr>
            <w:tcW w:type="dxa" w:w="9360"/>
            <w:tcBorders>
              <w:top w:val="none" w:color="FFFFFF" w:sz="0"/>
              <w:left w:val="none" w:color="FFFFFF" w:sz="0"/>
              <w:bottom w:val="none" w:color="FFFFFF" w:sz="0"/>
              <w:right w:val="none" w:color="FFFFFF" w:sz="0"/>
            </w:tcBorders>
            <w:shd w:fill="FFF5F5"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LangChain AgentExecutor with a single tool and a React frontend — breaks on any multi-step task</w:t>
            </w:r>
          </w:p>
        </w:tc>
      </w:tr>
      <w:tr>
        <w:tc>
          <w:tcPr>
            <w:tcW w:type="dxa" w:w="9360"/>
            <w:tcBorders>
              <w:top w:val="none" w:color="FFFFFF" w:sz="0"/>
              <w:left w:val="none" w:color="FFFFFF" w:sz="0"/>
              <w:bottom w:val="none" w:color="FFFFFF" w:sz="0"/>
              <w:right w:val="none" w:color="FFFFFF" w:sz="0"/>
            </w:tcBorders>
            <w:shd w:fill="FFF5F5"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A chatbot with tools bolted on, zero evaluation, and "it works when I test it manually"</w:t>
            </w:r>
          </w:p>
        </w:tc>
      </w:tr>
      <w:tr>
        <w:tc>
          <w:tcPr>
            <w:tcW w:type="dxa" w:w="9360"/>
            <w:tcBorders>
              <w:top w:val="none" w:color="FFFFFF" w:sz="0"/>
              <w:left w:val="none" w:color="FFFFFF" w:sz="0"/>
              <w:bottom w:val="none" w:color="FFFFFF" w:sz="0"/>
              <w:right w:val="none" w:color="FFFFFF" w:sz="0"/>
            </w:tcBorders>
            <w:shd w:fill="FFF5F5"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No UI beyond a terminal — cannot show a recruiter anything compelling in an interview</w:t>
            </w:r>
          </w:p>
        </w:tc>
      </w:tr>
    </w:tbl>
    <w:p>
      <w:pPr>
        <w:spacing w:after="0" w:before="40"/>
      </w:pPr>
      <w:r>
        <w:t xml:space="preserve"/>
      </w:r>
    </w:p>
    <w:tbl>
      <w:tblPr>
        <w:tblW w:type="dxa" w:w="9360"/>
        <w:tblBorders>
          <w:top w:val="single" w:color="00B4D8" w:sz="3"/>
          <w:left w:val="single" w:color="00B4D8" w:sz="3"/>
          <w:bottom w:val="single" w:color="00B4D8" w:sz="3"/>
          <w:right w:val="single" w:color="00B4D8" w:sz="3"/>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AFF" w:val="clear"/>
            <w:tcMar>
              <w:top w:type="dxa" w:w="60"/>
              <w:left w:type="dxa" w:w="200"/>
              <w:bottom w:type="dxa" w:w="60"/>
              <w:right w:type="dxa" w:w="200"/>
            </w:tcMar>
          </w:tcPr>
          <w:p>
            <w:r>
              <w:rPr>
                <w:rFonts w:ascii="Arial" w:cs="Arial" w:eastAsia="Arial" w:hAnsi="Arial"/>
                <w:b/>
                <w:bCs/>
                <w:color w:val="00B4D8"/>
                <w:sz w:val="18"/>
                <w:szCs w:val="18"/>
              </w:rPr>
              <w:t xml:space="preserve">✓  What makes Synapse senior-level</w:t>
            </w:r>
          </w:p>
        </w:tc>
      </w:tr>
      <w:tr>
        <w:tc>
          <w:tcPr>
            <w:tcW w:type="dxa" w:w="9360"/>
            <w:tcBorders>
              <w:top w:val="none" w:color="FFFFFF" w:sz="0"/>
              <w:left w:val="none" w:color="FFFFFF" w:sz="0"/>
              <w:bottom w:val="none" w:color="FFFFFF" w:sz="0"/>
              <w:right w:val="none" w:color="FFFFFF" w:sz="0"/>
            </w:tcBorders>
            <w:shd w:fill="F0FAFF"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LangGraph state machines with typed nodes, conditional edges, and checkpoint/resume — mirrors production architectures at Replit and Cohere, not tutorial code</w:t>
            </w:r>
          </w:p>
        </w:tc>
      </w:tr>
      <w:tr>
        <w:tc>
          <w:tcPr>
            <w:tcW w:type="dxa" w:w="9360"/>
            <w:tcBorders>
              <w:top w:val="none" w:color="FFFFFF" w:sz="0"/>
              <w:left w:val="none" w:color="FFFFFF" w:sz="0"/>
              <w:bottom w:val="none" w:color="FFFFFF" w:sz="0"/>
              <w:right w:val="none" w:color="FFFFFF" w:sz="0"/>
            </w:tcBorders>
            <w:shd w:fill="F0FAFF"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Two-tier memory with episodic summarization and MMR re-ranking — solves the context window problem the way production teams actually solve it</w:t>
            </w:r>
          </w:p>
        </w:tc>
      </w:tr>
      <w:tr>
        <w:tc>
          <w:tcPr>
            <w:tcW w:type="dxa" w:w="9360"/>
            <w:tcBorders>
              <w:top w:val="none" w:color="FFFFFF" w:sz="0"/>
              <w:left w:val="none" w:color="FFFFFF" w:sz="0"/>
              <w:bottom w:val="none" w:color="FFFFFF" w:sz="0"/>
              <w:right w:val="none" w:color="FFFFFF" w:sz="0"/>
            </w:tcBorders>
            <w:shd w:fill="F0FAFF"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Celery task queue with idempotency and dead-letter recovery — zero task loss is a hard SLA, not a nice-to-have</w:t>
            </w:r>
          </w:p>
        </w:tc>
      </w:tr>
      <w:tr>
        <w:tc>
          <w:tcPr>
            <w:tcW w:type="dxa" w:w="9360"/>
            <w:tcBorders>
              <w:top w:val="none" w:color="FFFFFF" w:sz="0"/>
              <w:left w:val="none" w:color="FFFFFF" w:sz="0"/>
              <w:bottom w:val="none" w:color="FFFFFF" w:sz="0"/>
              <w:right w:val="none" w:color="FFFFFF" w:sz="0"/>
            </w:tcBorders>
            <w:shd w:fill="F0FAFF"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Full OpenTelemetry + Langfuse observability — you can tell a recruiter your EXACT p95 cost and latency per agent, per task type</w:t>
            </w:r>
          </w:p>
        </w:tc>
      </w:tr>
      <w:tr>
        <w:tc>
          <w:tcPr>
            <w:tcW w:type="dxa" w:w="9360"/>
            <w:tcBorders>
              <w:top w:val="none" w:color="FFFFFF" w:sz="0"/>
              <w:left w:val="none" w:color="FFFFFF" w:sz="0"/>
              <w:bottom w:val="none" w:color="FFFFFF" w:sz="0"/>
              <w:right w:val="none" w:color="FFFFFF" w:sz="0"/>
            </w:tcBorders>
            <w:shd w:fill="F0FAFF"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Real-time WebSocket trace viewer UI — interviewers can watch the agent think. Nothing else demonstrates systems understanding this viscerally</w:t>
            </w:r>
          </w:p>
        </w:tc>
      </w:tr>
      <w:tr>
        <w:tc>
          <w:tcPr>
            <w:tcW w:type="dxa" w:w="9360"/>
            <w:tcBorders>
              <w:top w:val="none" w:color="FFFFFF" w:sz="0"/>
              <w:left w:val="none" w:color="FFFFFF" w:sz="0"/>
              <w:bottom w:val="none" w:color="FFFFFF" w:sz="0"/>
              <w:right w:val="none" w:color="FFFFFF" w:sz="0"/>
            </w:tcBorders>
            <w:shd w:fill="F0FAFF"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GAIA benchmark with regression tracking — your accuracy is externally validated and tracked over time, like a real engineering team would</w:t>
            </w:r>
          </w:p>
        </w:tc>
      </w:tr>
      <w:tr>
        <w:tc>
          <w:tcPr>
            <w:tcW w:type="dxa" w:w="9360"/>
            <w:tcBorders>
              <w:top w:val="none" w:color="FFFFFF" w:sz="0"/>
              <w:left w:val="none" w:color="FFFFFF" w:sz="0"/>
              <w:bottom w:val="none" w:color="FFFFFF" w:sz="0"/>
              <w:right w:val="none" w:color="FFFFFF" w:sz="0"/>
            </w:tcBorders>
            <w:shd w:fill="F0FAFF"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Prompt injection classifier — security thinking that most AI engineers overlook entirely</w:t>
            </w:r>
          </w:p>
        </w:tc>
      </w:tr>
      <w:tr>
        <w:tc>
          <w:tcPr>
            <w:tcW w:type="dxa" w:w="9360"/>
            <w:tcBorders>
              <w:top w:val="none" w:color="FFFFFF" w:sz="0"/>
              <w:left w:val="none" w:color="FFFFFF" w:sz="0"/>
              <w:bottom w:val="none" w:color="FFFFFF" w:sz="0"/>
              <w:right w:val="none" w:color="FFFFFF" w:sz="0"/>
            </w:tcBorders>
            <w:shd w:fill="F0FAFF" w:val="clear"/>
            <w:tcMar>
              <w:top w:type="dxa" w:w="35"/>
              <w:left w:type="dxa" w:w="200"/>
              <w:bottom w:type="dxa" w:w="35"/>
              <w:right w:type="dxa" w:w="200"/>
            </w:tcMar>
          </w:tcPr>
          <w:p>
            <w:pPr>
              <w:pStyle w:val="ListParagraph"/>
              <w:numPr>
                <w:ilvl w:val="0"/>
                <w:numId w:val="2"/>
              </w:numPr>
            </w:pPr>
            <w:r>
              <w:rPr>
                <w:rFonts w:ascii="Arial" w:cs="Arial" w:eastAsia="Arial" w:hAnsi="Arial"/>
                <w:color w:val="1A202C"/>
                <w:sz w:val="19"/>
                <w:szCs w:val="19"/>
              </w:rPr>
              <w:t xml:space="preserve">DPO preference pipeline generating fine-tuning data from production usage — this is what real AI product teams do</w:t>
            </w:r>
          </w:p>
        </w:tc>
      </w:tr>
    </w:tbl>
    <w:p>
      <w:pPr>
        <w:spacing w:after="0" w:before="60"/>
      </w:pPr>
      <w:r>
        <w:t xml:space="preserve"/>
      </w:r>
    </w:p>
    <w:p>
      <w:pPr>
        <w:pStyle w:val="Heading3"/>
        <w:spacing w:after="60" w:before="200"/>
      </w:pPr>
      <w:r>
        <w:rPr>
          <w:rFonts w:ascii="Arial" w:cs="Arial" w:eastAsia="Arial" w:hAnsi="Arial"/>
          <w:b/>
          <w:bCs/>
          <w:color w:val="E94560"/>
          <w:sz w:val="22"/>
          <w:szCs w:val="22"/>
        </w:rPr>
        <w:t xml:space="preserve">GitHub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synapse/</w:t>
            </w:r>
          </w:p>
        </w:tc>
        <w:tc>
          <w:tcPr>
            <w:tcW w:type="dxa" w:w="69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Root — README.md with architecture diagram, demo GIF, GAIA benchmark table, quick-start in under 5 minutes</w:t>
            </w:r>
          </w:p>
        </w:tc>
      </w:tr>
      <w:tr>
        <w:tc>
          <w:tcPr>
            <w:tcW w:type="dxa" w:w="24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agents/</w:t>
            </w:r>
          </w:p>
        </w:tc>
        <w:tc>
          <w:tcPr>
            <w:tcW w:type="dxa" w:w="69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supervisor.py, researcher.py, coder.py, analyst.py, writer.py — each a self-contained LangGraph graph with typed state</w:t>
            </w:r>
          </w:p>
        </w:tc>
      </w:tr>
      <w:tr>
        <w:tc>
          <w:tcPr>
            <w:tcW w:type="dxa" w:w="24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memory/</w:t>
            </w:r>
          </w:p>
        </w:tc>
        <w:tc>
          <w:tcPr>
            <w:tcW w:type="dxa" w:w="69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working_memory.py (Redis), episodic_store.py (pgvector), summarizer.py, retrieval.py (MMR re-ranking)</w:t>
            </w:r>
          </w:p>
        </w:tc>
      </w:tr>
      <w:tr>
        <w:tc>
          <w:tcPr>
            <w:tcW w:type="dxa" w:w="24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tools/</w:t>
            </w:r>
          </w:p>
        </w:tc>
        <w:tc>
          <w:tcPr>
            <w:tcW w:type="dxa" w:w="69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web_search.py, code_exec.py (E2B), sql_tool.py, file_io.py — all with typed outputs and retry wrappers</w:t>
            </w:r>
          </w:p>
        </w:tc>
      </w:tr>
      <w:tr>
        <w:tc>
          <w:tcPr>
            <w:tcW w:type="dxa" w:w="24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orchestration/</w:t>
            </w:r>
          </w:p>
        </w:tc>
        <w:tc>
          <w:tcPr>
            <w:tcW w:type="dxa" w:w="69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task_router.py (Celery), budget_enforcer.py, loop_detector.py, checkpoint.py, dedup_cache.py</w:t>
            </w:r>
          </w:p>
        </w:tc>
      </w:tr>
      <w:tr>
        <w:tc>
          <w:tcPr>
            <w:tcW w:type="dxa" w:w="24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api/</w:t>
            </w:r>
          </w:p>
        </w:tc>
        <w:tc>
          <w:tcPr>
            <w:tcW w:type="dxa" w:w="69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FastAPI routes, websocket_handler.py, auth middleware, rate_limiter.py</w:t>
            </w:r>
          </w:p>
        </w:tc>
      </w:tr>
      <w:tr>
        <w:tc>
          <w:tcPr>
            <w:tcW w:type="dxa" w:w="24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frontend/</w:t>
            </w:r>
          </w:p>
        </w:tc>
        <w:tc>
          <w:tcPr>
            <w:tcW w:type="dxa" w:w="69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React trace viewer, task dashboard, memory explorer — TypeScript throughout, Tailwind styling</w:t>
            </w:r>
          </w:p>
        </w:tc>
      </w:tr>
      <w:tr>
        <w:tc>
          <w:tcPr>
            <w:tcW w:type="dxa" w:w="24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eval/</w:t>
            </w:r>
          </w:p>
        </w:tc>
        <w:tc>
          <w:tcPr>
            <w:tcW w:type="dxa" w:w="69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gaia_harness.py, benchmark_runner.py, injection_test_suite.py, score_tracker.py, regression_report.py</w:t>
            </w:r>
          </w:p>
        </w:tc>
      </w:tr>
      <w:tr>
        <w:tc>
          <w:tcPr>
            <w:tcW w:type="dxa" w:w="24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observability/</w:t>
            </w:r>
          </w:p>
        </w:tc>
        <w:tc>
          <w:tcPr>
            <w:tcW w:type="dxa" w:w="69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otel_config.py, langfuse_integration.py, anomaly_detector.py (Welford), slack_alerter.py</w:t>
            </w:r>
          </w:p>
        </w:tc>
      </w:tr>
      <w:tr>
        <w:tc>
          <w:tcPr>
            <w:tcW w:type="dxa" w:w="2400"/>
            <w:tcBorders>
              <w:top w:val="single" w:color="CBD5E0" w:sz="1"/>
              <w:left w:val="single" w:color="CBD5E0" w:sz="1"/>
              <w:bottom w:val="single" w:color="CBD5E0" w:sz="1"/>
              <w:right w:val="single" w:color="CBD5E0" w:sz="1"/>
            </w:tcBorders>
            <w:shd w:fill="F0F4F8" w:val="clear"/>
            <w:tcMar>
              <w:top w:type="dxa" w:w="70"/>
              <w:left w:type="dxa" w:w="120"/>
              <w:bottom w:type="dxa" w:w="70"/>
              <w:right w:type="dxa" w:w="120"/>
            </w:tcMar>
          </w:tcPr>
          <w:p>
            <w:r>
              <w:rPr>
                <w:rFonts w:ascii="Arial" w:cs="Arial" w:eastAsia="Arial" w:hAnsi="Arial"/>
                <w:b/>
                <w:bCs/>
                <w:color w:val="0F3460"/>
                <w:sz w:val="18"/>
                <w:szCs w:val="18"/>
              </w:rPr>
              <w:t xml:space="preserve">infra/</w:t>
            </w:r>
          </w:p>
        </w:tc>
        <w:tc>
          <w:tcPr>
            <w:tcW w:type="dxa" w:w="6960"/>
            <w:tcBorders>
              <w:top w:val="single" w:color="CBD5E0" w:sz="1"/>
              <w:left w:val="single" w:color="CBD5E0" w:sz="1"/>
              <w:bottom w:val="single" w:color="CBD5E0" w:sz="1"/>
              <w:right w:val="single" w:color="CBD5E0" w:sz="1"/>
            </w:tcBorders>
            <w:tcMar>
              <w:top w:type="dxa" w:w="70"/>
              <w:left w:type="dxa" w:w="120"/>
              <w:bottom w:type="dxa" w:w="70"/>
              <w:right w:type="dxa" w:w="120"/>
            </w:tcMar>
          </w:tcPr>
          <w:p>
            <w:r>
              <w:rPr>
                <w:rFonts w:ascii="Arial" w:cs="Arial" w:eastAsia="Arial" w:hAnsi="Arial"/>
                <w:color w:val="1A202C"/>
                <w:sz w:val="18"/>
                <w:szCs w:val="18"/>
              </w:rPr>
              <w:t xml:space="preserve">docker-compose.yml, Dockerfile, .github/workflows/ci.yml, render.yaml, locustfile.py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F346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E945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2026-06-16T19:16:55.234Z</dcterms:created>
  <dcterms:modified xsi:type="dcterms:W3CDTF">2026-06-16T19:16:55.246Z</dcterms:modified>
</cp:coreProperties>
</file>

<file path=docProps/custom.xml><?xml version="1.0" encoding="utf-8"?>
<Properties xmlns="http://schemas.openxmlformats.org/officeDocument/2006/custom-properties" xmlns:vt="http://schemas.openxmlformats.org/officeDocument/2006/docPropsVTypes"/>
</file>