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B9CC" w14:textId="77777777" w:rsidR="00D24F6D" w:rsidRDefault="00000000">
      <w:pPr>
        <w:pStyle w:val="Heading3"/>
      </w:pPr>
      <w:bookmarkStart w:id="0" w:name="metadata"/>
      <w:r>
        <w:t>Metadata</w:t>
      </w:r>
    </w:p>
    <w:p w14:paraId="4356B81A" w14:textId="77777777" w:rsidR="00D24F6D" w:rsidRDefault="00000000">
      <w:pPr>
        <w:pStyle w:val="FirstParagraph"/>
      </w:pPr>
      <w:r>
        <w:rPr>
          <w:b/>
          <w:bCs/>
        </w:rPr>
        <w:t>Title</w:t>
      </w:r>
    </w:p>
    <w:p w14:paraId="70E193FC" w14:textId="77777777" w:rsidR="00D24F6D" w:rsidRDefault="00000000">
      <w:pPr>
        <w:pStyle w:val="BodyText"/>
      </w:pPr>
      <w:commentRangeStart w:id="1"/>
      <w:commentRangeStart w:id="2"/>
      <w:commentRangeStart w:id="3"/>
      <w:r>
        <w:t>Does the Dyadic Climate of Health-Related Social Control Shape Daily Relational and Behavioral Responses to Control Strategies Ranging from Autonomy-Promoting to Autonomy-Limiting?</w:t>
      </w:r>
    </w:p>
    <w:commentRangeEnd w:id="2"/>
    <w:p w14:paraId="18F722E2" w14:textId="77777777" w:rsidR="00D24F6D" w:rsidRDefault="00000000">
      <w:pPr>
        <w:pStyle w:val="BodyText"/>
      </w:pPr>
      <w:r>
        <w:rPr>
          <w:rStyle w:val="CommentReference"/>
          <w:sz w:val="24"/>
          <w:szCs w:val="24"/>
        </w:rPr>
        <w:commentReference w:id="2"/>
      </w:r>
      <w:commentRangeEnd w:id="3"/>
      <w:r>
        <w:rPr>
          <w:rStyle w:val="CommentReference"/>
          <w:sz w:val="24"/>
          <w:szCs w:val="24"/>
        </w:rPr>
        <w:commentReference w:id="3"/>
      </w:r>
      <w:commentRangeEnd w:id="1"/>
      <w:r>
        <w:rPr>
          <w:rStyle w:val="CommentReference"/>
          <w:sz w:val="24"/>
          <w:szCs w:val="24"/>
        </w:rPr>
        <w:commentReference w:id="1"/>
      </w:r>
    </w:p>
    <w:p w14:paraId="7AF1C01B" w14:textId="77777777" w:rsidR="00D24F6D" w:rsidRDefault="00000000">
      <w:pPr>
        <w:pStyle w:val="BodyText"/>
      </w:pPr>
      <w:r>
        <w:rPr>
          <w:b/>
          <w:bCs/>
        </w:rPr>
        <w:t>Description</w:t>
      </w:r>
    </w:p>
    <w:p w14:paraId="2763C651" w14:textId="77777777" w:rsidR="00D24F6D" w:rsidRDefault="00000000">
      <w:pPr>
        <w:pStyle w:val="BodyText"/>
      </w:pPr>
      <w:r>
        <w:t xml:space="preserve">This preregistration is for an observational intensive longitudinal dyadic study embedded in the project </w:t>
      </w:r>
      <w:r>
        <w:rPr>
          <w:b/>
          <w:bCs/>
        </w:rPr>
        <w:t>“Time and Ties: Dynamic modelling of temporal patterns in dyadic health behaviour change”</w:t>
      </w:r>
      <w:r>
        <w:t xml:space="preserve"> (co-directed by Urte Scholz and Robert Tobias, University of Zurich, Department of Psychology), funded by the Swiss National Science Foundation (10001C_197471 / 1). The parent project is a micro-randomized trial, registered under </w:t>
      </w:r>
      <w:hyperlink r:id="rId9">
        <w:r>
          <w:rPr>
            <w:rStyle w:val="Hyperlink"/>
          </w:rPr>
          <w:t>https://doi.org/10.1186/ISRCTN15673058</w:t>
        </w:r>
      </w:hyperlink>
      <w:r>
        <w:t xml:space="preserve"> and approved by the Ethics Committee of the Faculty of Arts and Social Sciences at the University of Zurich (no. 21.9.11). The parent project investigates how physically insufficiently active cohabiting romantic partners attempt to increase physical activity across 55 days using a remotely delivered, app-based program with weekly collaborative and dyadic planning and dyadic just-in-time adaptive interventions (JITAIs). The current observational study will not investigate intervention effects, but will account for them.</w:t>
      </w:r>
    </w:p>
    <w:p w14:paraId="39BBEAAB" w14:textId="77777777" w:rsidR="00D24F6D" w:rsidRDefault="00000000">
      <w:pPr>
        <w:pStyle w:val="BodyText"/>
      </w:pPr>
      <w:r>
        <w:t>In the current paper, social control is measured daily via 9 items capturing strategies ranging from autonomy-promoting to autonomy-limiting. We first evaluate whether a proposed 3-factor structure (autonomy-promoting “persuasion”, autonomy-ambivalent control, and autonomy-limiting “pressure”) is supported; otherwise we will keep the standard 2-factor structure (autonomy-promoting “persuasion” and autonomy-limiting “pressure”).</w:t>
      </w:r>
    </w:p>
    <w:p w14:paraId="79266268" w14:textId="77777777" w:rsidR="00D24F6D" w:rsidRDefault="00000000">
      <w:pPr>
        <w:pStyle w:val="BodyText"/>
      </w:pPr>
      <w:r>
        <w:t xml:space="preserve">Then, we examine observational associations between daily levels of the 2- or 3-factors and (a) behavioral responses (self-reported and device-based MVPA) and (b) relational/psychological responses </w:t>
      </w:r>
      <w:commentRangeStart w:id="4"/>
      <w:r>
        <w:t>(relationship satisfaction, mood, and reactance</w:t>
      </w:r>
      <w:commentRangeEnd w:id="4"/>
      <w:r>
        <w:rPr>
          <w:rStyle w:val="CommentReference"/>
          <w:sz w:val="24"/>
          <w:szCs w:val="24"/>
        </w:rPr>
        <w:commentReference w:id="4"/>
      </w:r>
      <w:r>
        <w:t>).</w:t>
      </w:r>
    </w:p>
    <w:p w14:paraId="454F7262" w14:textId="77777777" w:rsidR="00D24F6D" w:rsidRDefault="00000000">
      <w:pPr>
        <w:pStyle w:val="BodyText"/>
      </w:pPr>
      <w:r>
        <w:t xml:space="preserve">Finally, we test whether person-mean levels of social control and “dyadic climates” moderate these daily associations. The term “dyadic climate” refers to the constellation of how social control is used within a particular dyad, on average. This includes the dyad-mean of social control and the </w:t>
      </w:r>
      <w:commentRangeStart w:id="5"/>
      <w:r>
        <w:t xml:space="preserve">within-dyad difference </w:t>
      </w:r>
      <w:commentRangeEnd w:id="5"/>
      <w:r>
        <w:rPr>
          <w:rStyle w:val="CommentReference"/>
          <w:sz w:val="24"/>
          <w:szCs w:val="24"/>
        </w:rPr>
        <w:commentReference w:id="5"/>
      </w:r>
      <w:r>
        <w:t>(e.g., does one partner experience more control than the other, on average?). This is an extension of the person-as-context framework described by Hoffman &amp; Stawski (2009).</w:t>
      </w:r>
    </w:p>
    <w:p w14:paraId="28670599" w14:textId="77777777" w:rsidR="00D24F6D" w:rsidRDefault="00000000">
      <w:pPr>
        <w:pStyle w:val="BodyText"/>
      </w:pPr>
      <w:r>
        <w:t>References:</w:t>
      </w:r>
    </w:p>
    <w:p w14:paraId="134E90DB" w14:textId="77777777" w:rsidR="00D24F6D" w:rsidRDefault="00000000">
      <w:pPr>
        <w:pStyle w:val="BodyText"/>
      </w:pPr>
      <w:r>
        <w:lastRenderedPageBreak/>
        <w:t xml:space="preserve">- Hoffman, L., &amp; Stawski, R. S. (2009). Persons as Contexts: Evaluating Between-Person and Within-Person Effects in Longitudinal Analysis. Research in Human Development, 6(2–3), 97–120. </w:t>
      </w:r>
      <w:hyperlink r:id="rId10">
        <w:r>
          <w:rPr>
            <w:rStyle w:val="Hyperlink"/>
          </w:rPr>
          <w:t>https://doi.org/10.1080/15427600902911189</w:t>
        </w:r>
      </w:hyperlink>
    </w:p>
    <w:p w14:paraId="4817E5F8" w14:textId="77777777" w:rsidR="00D24F6D" w:rsidRDefault="00000000">
      <w:pPr>
        <w:pStyle w:val="BodyText"/>
      </w:pPr>
      <w:r>
        <w:rPr>
          <w:b/>
          <w:bCs/>
        </w:rPr>
        <w:t>Contributors</w:t>
      </w:r>
    </w:p>
    <w:p w14:paraId="57DE2EB6" w14:textId="77777777" w:rsidR="00D24F6D" w:rsidRDefault="00000000">
      <w:pPr>
        <w:numPr>
          <w:ilvl w:val="0"/>
          <w:numId w:val="2"/>
        </w:numPr>
      </w:pPr>
      <w:r>
        <w:t>Pascal Küng</w:t>
      </w:r>
    </w:p>
    <w:p w14:paraId="01B2F13C" w14:textId="77777777" w:rsidR="00D24F6D" w:rsidRDefault="00000000">
      <w:pPr>
        <w:numPr>
          <w:ilvl w:val="0"/>
          <w:numId w:val="2"/>
        </w:numPr>
      </w:pPr>
      <w:r>
        <w:t>Patrick Stefan Höhener</w:t>
      </w:r>
    </w:p>
    <w:p w14:paraId="48DD3A9A" w14:textId="77777777" w:rsidR="00D24F6D" w:rsidRDefault="00000000">
      <w:pPr>
        <w:numPr>
          <w:ilvl w:val="0"/>
          <w:numId w:val="2"/>
        </w:numPr>
      </w:pPr>
      <w:r>
        <w:t>James M. Allen</w:t>
      </w:r>
    </w:p>
    <w:p w14:paraId="6A1DFB70" w14:textId="77777777" w:rsidR="00D24F6D" w:rsidRDefault="00000000">
      <w:pPr>
        <w:numPr>
          <w:ilvl w:val="0"/>
          <w:numId w:val="2"/>
        </w:numPr>
      </w:pPr>
      <w:r>
        <w:t>Robert Tobias</w:t>
      </w:r>
    </w:p>
    <w:p w14:paraId="1B43F233" w14:textId="77777777" w:rsidR="00D24F6D" w:rsidRDefault="00000000">
      <w:pPr>
        <w:numPr>
          <w:ilvl w:val="0"/>
          <w:numId w:val="2"/>
        </w:numPr>
      </w:pPr>
      <w:r>
        <w:t>Urte Scholz</w:t>
      </w:r>
    </w:p>
    <w:p w14:paraId="18AF4155" w14:textId="77777777" w:rsidR="00D24F6D" w:rsidRDefault="00000000">
      <w:pPr>
        <w:pStyle w:val="FirstParagraph"/>
      </w:pPr>
      <w:r>
        <w:rPr>
          <w:b/>
          <w:bCs/>
        </w:rPr>
        <w:t>License (selection)</w:t>
      </w:r>
    </w:p>
    <w:p w14:paraId="166A1334" w14:textId="77777777" w:rsidR="00D24F6D" w:rsidRDefault="00000000">
      <w:pPr>
        <w:pStyle w:val="BodyText"/>
      </w:pPr>
      <w:r>
        <w:t>CC-by</w:t>
      </w:r>
    </w:p>
    <w:p w14:paraId="7E6F63A4" w14:textId="77777777" w:rsidR="00D24F6D" w:rsidRDefault="00000000">
      <w:pPr>
        <w:pStyle w:val="BodyText"/>
      </w:pPr>
      <w:r>
        <w:rPr>
          <w:b/>
          <w:bCs/>
        </w:rPr>
        <w:t>Subjects (selection)</w:t>
      </w:r>
    </w:p>
    <w:p w14:paraId="124E7BCC" w14:textId="77777777" w:rsidR="00D24F6D" w:rsidRDefault="00000000">
      <w:pPr>
        <w:pStyle w:val="BodyText"/>
      </w:pPr>
      <w:r>
        <w:t>Psychology; Social and Behavioral Sciences; Social Psychology; Health Psychology</w:t>
      </w:r>
    </w:p>
    <w:p w14:paraId="67F00644" w14:textId="77777777" w:rsidR="00D24F6D" w:rsidRDefault="00000000">
      <w:pPr>
        <w:pStyle w:val="BodyText"/>
      </w:pPr>
      <w:r>
        <w:rPr>
          <w:b/>
          <w:bCs/>
        </w:rPr>
        <w:t>Tags</w:t>
      </w:r>
    </w:p>
    <w:p w14:paraId="7E2D51A4" w14:textId="77777777" w:rsidR="00D24F6D" w:rsidRDefault="00000000">
      <w:pPr>
        <w:pStyle w:val="BodyText"/>
      </w:pPr>
      <w:r>
        <w:t>actor-partner interdependence model; dyads; health-related social control; MVPA; persuasion; physical activity; pressure; romantic couples</w:t>
      </w:r>
    </w:p>
    <w:p w14:paraId="2BA1F2D8" w14:textId="77777777" w:rsidR="00D24F6D" w:rsidRDefault="00000000">
      <w:pPr>
        <w:pStyle w:val="Heading2"/>
      </w:pPr>
      <w:bookmarkStart w:id="6" w:name="overview"/>
      <w:bookmarkEnd w:id="0"/>
      <w:r>
        <w:t>Overview</w:t>
      </w:r>
    </w:p>
    <w:p w14:paraId="7EEE2274" w14:textId="77777777" w:rsidR="00D24F6D" w:rsidRDefault="00000000">
      <w:pPr>
        <w:pStyle w:val="Heading3"/>
      </w:pPr>
      <w:bookmarkStart w:id="7" w:name="research-questions-or-hypotheses"/>
      <w:r>
        <w:t>Research questions or hypotheses</w:t>
      </w:r>
    </w:p>
    <w:p w14:paraId="10ACC21E" w14:textId="77777777" w:rsidR="00D24F6D" w:rsidRDefault="00000000">
      <w:pPr>
        <w:pStyle w:val="FirstParagraph"/>
      </w:pPr>
      <w:commentRangeStart w:id="8"/>
      <w:commentRangeStart w:id="9"/>
      <w:r>
        <w:t xml:space="preserve">Note that hypotheses and exploratory investigations involving </w:t>
      </w:r>
      <w:commentRangeStart w:id="10"/>
      <w:commentRangeStart w:id="11"/>
      <w:commentRangeStart w:id="12"/>
      <w:r>
        <w:t xml:space="preserve">autonomy-ambivalent </w:t>
      </w:r>
      <w:commentRangeEnd w:id="11"/>
      <w:r>
        <w:rPr>
          <w:rStyle w:val="CommentReference"/>
          <w:sz w:val="24"/>
          <w:szCs w:val="24"/>
        </w:rPr>
        <w:commentReference w:id="11"/>
      </w:r>
      <w:commentRangeEnd w:id="12"/>
      <w:r>
        <w:rPr>
          <w:rStyle w:val="CommentReference"/>
          <w:sz w:val="24"/>
          <w:szCs w:val="24"/>
        </w:rPr>
        <w:commentReference w:id="12"/>
      </w:r>
      <w:commentRangeEnd w:id="10"/>
      <w:r>
        <w:rPr>
          <w:rStyle w:val="CommentReference"/>
          <w:sz w:val="24"/>
          <w:szCs w:val="24"/>
        </w:rPr>
        <w:commentReference w:id="10"/>
      </w:r>
      <w:r>
        <w:t xml:space="preserve">control are evaluated only if the preregistered measurement decision rules (under “Analysis Plan”) support a 3‑factor structure. Otherwise, a 2‑factor structure with only persuasion and pressure is used, and hypotheses involving </w:t>
      </w:r>
      <w:r>
        <w:rPr>
          <w:highlight w:val="yellow"/>
        </w:rPr>
        <w:t>autonomy-ambivalent</w:t>
      </w:r>
      <w:r>
        <w:t xml:space="preserve"> control are not tested. The factor analysis is primarily used to check whether the items can be meaningfully distinguished into strategy clusters for scoring (rather than to provide a comprehensive scale-validation). Theoretically, we expect social control strategies to lie on a continuum of autonomy limitation, ranging from relatively mild, less autonomy-limiting influence attempts (persuasion) to more forceful, autonomy-limiting attempts (pressure). A 3-factor solution would therefore be interpreted as reflecting lower, medium, and higher ranges (clusters) on this continuum. In addition, we will explore whether the nine items can be described by an ordered escalation/intensity continuum (e.g., low to high autonomy limitation). These exploratory analyses will not affect the preregistered scoring decisions or hypothesis tests.</w:t>
      </w:r>
      <w:commentRangeEnd w:id="8"/>
      <w:r>
        <w:rPr>
          <w:rStyle w:val="CommentReference"/>
          <w:sz w:val="24"/>
          <w:szCs w:val="24"/>
        </w:rPr>
        <w:commentReference w:id="8"/>
      </w:r>
      <w:commentRangeEnd w:id="9"/>
      <w:r>
        <w:rPr>
          <w:rStyle w:val="CommentReference"/>
          <w:sz w:val="24"/>
          <w:szCs w:val="24"/>
        </w:rPr>
        <w:commentReference w:id="9"/>
      </w:r>
    </w:p>
    <w:p w14:paraId="24AEB8BC" w14:textId="77777777" w:rsidR="00D24F6D" w:rsidRDefault="00000000">
      <w:pPr>
        <w:pStyle w:val="BodyText"/>
      </w:pPr>
      <w:commentRangeStart w:id="13"/>
      <w:commentRangeStart w:id="14"/>
      <w:r>
        <w:lastRenderedPageBreak/>
        <w:t>We</w:t>
      </w:r>
      <w:commentRangeEnd w:id="13"/>
      <w:r>
        <w:rPr>
          <w:rStyle w:val="CommentReference"/>
          <w:sz w:val="24"/>
          <w:szCs w:val="24"/>
        </w:rPr>
        <w:commentReference w:id="13"/>
      </w:r>
      <w:commentRangeEnd w:id="14"/>
      <w:r>
        <w:rPr>
          <w:rStyle w:val="CommentReference"/>
          <w:sz w:val="24"/>
          <w:szCs w:val="24"/>
        </w:rPr>
        <w:commentReference w:id="14"/>
      </w:r>
      <w:r>
        <w:t xml:space="preserve"> preregister hypotheses for the outcomes moderate to vigorous physical activity (MVPA), relationship satisfaction, mood, and reactance. MVPA and reactance are defined as primary outcomes. Relationship satisfaction and mood are secondary outcomes. If space constraints in the final manuscript prevent their inclusion, these analyses will be reported and briefly discussed in the Supplementary Materials only.</w:t>
      </w:r>
    </w:p>
    <w:p w14:paraId="1D2F0C41" w14:textId="77777777" w:rsidR="00D24F6D" w:rsidRDefault="00000000">
      <w:pPr>
        <w:pStyle w:val="BodyText"/>
      </w:pPr>
      <w:r>
        <w:rPr>
          <w:b/>
          <w:bCs/>
        </w:rPr>
        <w:t>Main actor effects (within-person)</w:t>
      </w:r>
    </w:p>
    <w:p w14:paraId="30F5D868" w14:textId="77777777" w:rsidR="00D24F6D" w:rsidRDefault="00000000">
      <w:pPr>
        <w:pStyle w:val="BodyText"/>
      </w:pPr>
      <w:r>
        <w:rPr>
          <w:b/>
          <w:bCs/>
        </w:rPr>
        <w:t>H1 (Persuasion):</w:t>
      </w:r>
      <w:r>
        <w:t xml:space="preserve"> On days when individuals experience more persuasion, they show (i) more MVPA (self-reported and device-based), (ii) higher relationship satisfaction, and (iii) more positive mood. No link with reactance is expected, but we investigate this exploratorily.</w:t>
      </w:r>
    </w:p>
    <w:p w14:paraId="627BC97F" w14:textId="77777777" w:rsidR="00D24F6D" w:rsidRDefault="00000000">
      <w:pPr>
        <w:pStyle w:val="BodyText"/>
      </w:pPr>
      <w:r>
        <w:rPr>
          <w:b/>
          <w:bCs/>
        </w:rPr>
        <w:t>H2 (Pressure):</w:t>
      </w:r>
      <w:r>
        <w:t xml:space="preserve"> On days when individuals experience more pressure, they show (i) less MVPA, (ii) lower relationship satisfaction, (iii) less positive mood, and (iv) higher reactance.</w:t>
      </w:r>
    </w:p>
    <w:p w14:paraId="41EE046C" w14:textId="77777777" w:rsidR="00D24F6D" w:rsidRDefault="00000000">
      <w:pPr>
        <w:pStyle w:val="BodyText"/>
      </w:pPr>
      <w:r>
        <w:t>Daily autonomy-ambivalent control is investigated exploratorily for MVPA, relationship satisfaction, mood, and reactance.</w:t>
      </w:r>
    </w:p>
    <w:p w14:paraId="632C83AA" w14:textId="77777777" w:rsidR="00D24F6D" w:rsidRDefault="00000000">
      <w:pPr>
        <w:pStyle w:val="BodyText"/>
      </w:pPr>
      <w:r>
        <w:t>Main partner effects will not be explicitly investigated due to space constraints. However, they will be accounted for and reported in tables.</w:t>
      </w:r>
    </w:p>
    <w:p w14:paraId="3DC40832" w14:textId="77777777" w:rsidR="00D24F6D" w:rsidRDefault="00000000">
      <w:pPr>
        <w:pStyle w:val="BodyText"/>
      </w:pPr>
      <w:r>
        <w:rPr>
          <w:b/>
          <w:bCs/>
        </w:rPr>
        <w:t>Strategy contrasts</w:t>
      </w:r>
    </w:p>
    <w:p w14:paraId="247B2E2C" w14:textId="77777777" w:rsidR="00D24F6D" w:rsidRDefault="00000000">
      <w:pPr>
        <w:pStyle w:val="BodyText"/>
      </w:pPr>
      <w:r>
        <w:rPr>
          <w:b/>
          <w:bCs/>
        </w:rPr>
        <w:t>H3 (Autonomy-ambivalent control vs persuasion):</w:t>
      </w:r>
      <w:r>
        <w:t xml:space="preserve"> The daily associations between experienced autonomy-ambivalent control and their (i) MVPA, (ii) relationship satisfaction, and (iii) mood </w:t>
      </w:r>
      <w:commentRangeStart w:id="15"/>
      <w:r>
        <w:t>are less favorable than those for experienced persuasion</w:t>
      </w:r>
      <w:commentRangeEnd w:id="15"/>
      <w:r>
        <w:rPr>
          <w:rStyle w:val="CommentReference"/>
          <w:sz w:val="24"/>
          <w:szCs w:val="24"/>
        </w:rPr>
        <w:commentReference w:id="15"/>
      </w:r>
      <w:r>
        <w:t>. The difference regarding reactance is investigated exploratorily.</w:t>
      </w:r>
    </w:p>
    <w:p w14:paraId="392318AF" w14:textId="77777777" w:rsidR="00D24F6D" w:rsidRDefault="00000000">
      <w:pPr>
        <w:pStyle w:val="BodyText"/>
      </w:pPr>
      <w:r>
        <w:rPr>
          <w:b/>
          <w:bCs/>
        </w:rPr>
        <w:t>H4 (Autonomy-ambivalent control vs pressure):</w:t>
      </w:r>
      <w:r>
        <w:t xml:space="preserve"> The daily associations between experienced autonomy-ambivalent control and (i) MVPA, (ii) relationship satisfaction, (iii) mood, and (iv) reactance are </w:t>
      </w:r>
      <w:commentRangeStart w:id="16"/>
      <w:commentRangeStart w:id="17"/>
      <w:commentRangeStart w:id="18"/>
      <w:r>
        <w:t>less unfavorable</w:t>
      </w:r>
      <w:commentRangeEnd w:id="16"/>
      <w:r>
        <w:rPr>
          <w:rStyle w:val="CommentReference"/>
          <w:sz w:val="24"/>
          <w:szCs w:val="24"/>
        </w:rPr>
        <w:commentReference w:id="16"/>
      </w:r>
      <w:commentRangeEnd w:id="17"/>
      <w:r>
        <w:rPr>
          <w:rStyle w:val="CommentReference"/>
          <w:sz w:val="24"/>
          <w:szCs w:val="24"/>
        </w:rPr>
        <w:commentReference w:id="17"/>
      </w:r>
      <w:commentRangeEnd w:id="18"/>
      <w:r>
        <w:rPr>
          <w:rStyle w:val="CommentReference"/>
          <w:sz w:val="24"/>
          <w:szCs w:val="24"/>
        </w:rPr>
        <w:commentReference w:id="18"/>
      </w:r>
      <w:r>
        <w:t xml:space="preserve"> than those for experienced pressure.</w:t>
      </w:r>
    </w:p>
    <w:p w14:paraId="7F177394" w14:textId="77777777" w:rsidR="00D24F6D" w:rsidRDefault="00000000">
      <w:pPr>
        <w:pStyle w:val="BodyText"/>
      </w:pPr>
      <w:r>
        <w:rPr>
          <w:b/>
          <w:bCs/>
        </w:rPr>
        <w:t>Dyadic-climate interactions</w:t>
      </w:r>
    </w:p>
    <w:p w14:paraId="41B9F8CA" w14:textId="77777777" w:rsidR="00D24F6D" w:rsidRDefault="00000000">
      <w:pPr>
        <w:pStyle w:val="BodyText"/>
      </w:pPr>
      <w:r>
        <w:rPr>
          <w:b/>
          <w:bCs/>
        </w:rPr>
        <w:t>Persuasion</w:t>
      </w:r>
    </w:p>
    <w:p w14:paraId="168A3953" w14:textId="77777777" w:rsidR="00D24F6D" w:rsidRDefault="00000000">
      <w:pPr>
        <w:pStyle w:val="BodyText"/>
      </w:pPr>
      <w:r>
        <w:rPr>
          <w:b/>
          <w:bCs/>
        </w:rPr>
        <w:t>H5 (Persuasion × dyadic mean;</w:t>
      </w:r>
      <w:r>
        <w:t xml:space="preserve"> </w:t>
      </w:r>
      <w:commentRangeStart w:id="19"/>
      <w:commentRangeStart w:id="20"/>
      <w:commentRangeStart w:id="21"/>
      <w:commentRangeStart w:id="22"/>
      <w:r>
        <w:rPr>
          <w:b/>
          <w:bCs/>
        </w:rPr>
        <w:t>habituation</w:t>
      </w:r>
      <w:commentRangeEnd w:id="19"/>
      <w:r>
        <w:rPr>
          <w:rStyle w:val="CommentReference"/>
          <w:b/>
          <w:bCs/>
          <w:sz w:val="24"/>
          <w:szCs w:val="24"/>
        </w:rPr>
        <w:commentReference w:id="19"/>
      </w:r>
      <w:commentRangeEnd w:id="20"/>
      <w:r>
        <w:rPr>
          <w:rStyle w:val="CommentReference"/>
          <w:b/>
          <w:bCs/>
          <w:sz w:val="24"/>
          <w:szCs w:val="24"/>
        </w:rPr>
        <w:commentReference w:id="20"/>
      </w:r>
      <w:commentRangeEnd w:id="21"/>
      <w:r>
        <w:rPr>
          <w:rStyle w:val="CommentReference"/>
          <w:b/>
          <w:bCs/>
          <w:sz w:val="24"/>
          <w:szCs w:val="24"/>
        </w:rPr>
        <w:commentReference w:id="21"/>
      </w:r>
      <w:commentRangeEnd w:id="22"/>
      <w:r>
        <w:rPr>
          <w:rStyle w:val="CommentReference"/>
          <w:b/>
          <w:bCs/>
          <w:sz w:val="24"/>
          <w:szCs w:val="24"/>
        </w:rPr>
        <w:commentReference w:id="22"/>
      </w:r>
      <w:r>
        <w:rPr>
          <w:b/>
          <w:bCs/>
        </w:rPr>
        <w:t>):</w:t>
      </w:r>
      <w:r>
        <w:t xml:space="preserve"> In dyads with a higher dyad-mean of persuasion, the daily associations between an individual’s experienced persuasion and their (i) MVPA, (ii) relationship satisfaction, and (iii) mood are less favorable. The moderation regarding daily reactance is investigated exploratorily.</w:t>
      </w:r>
    </w:p>
    <w:p w14:paraId="28CC4228" w14:textId="77777777" w:rsidR="00D24F6D" w:rsidRDefault="00000000">
      <w:pPr>
        <w:pStyle w:val="BodyText"/>
      </w:pPr>
      <w:r>
        <w:rPr>
          <w:b/>
          <w:bCs/>
        </w:rPr>
        <w:t>H6 (Persuasion × within-dyad difference</w:t>
      </w:r>
      <w:commentRangeStart w:id="23"/>
      <w:r>
        <w:rPr>
          <w:b/>
          <w:bCs/>
        </w:rPr>
        <w:t>; inequity</w:t>
      </w:r>
      <w:commentRangeEnd w:id="23"/>
      <w:r>
        <w:rPr>
          <w:rStyle w:val="CommentReference"/>
          <w:b/>
          <w:bCs/>
          <w:sz w:val="24"/>
          <w:szCs w:val="24"/>
        </w:rPr>
        <w:commentReference w:id="23"/>
      </w:r>
      <w:r>
        <w:rPr>
          <w:b/>
          <w:bCs/>
        </w:rPr>
        <w:t>).</w:t>
      </w:r>
      <w:r>
        <w:t xml:space="preserve"> For individuals who experience relatively more persuasion than their partner on average, the daily associations between their experienced persuasion and their (i) MVPA, (ii) relationship satisfaction, and (iii) mood are less favorable, compared to individuals who experience relatively less persuasion than their partner on average. The moderation regarding daily reactance is investigated exploratorily.</w:t>
      </w:r>
    </w:p>
    <w:p w14:paraId="4D8835EE" w14:textId="77777777" w:rsidR="00D24F6D" w:rsidRDefault="00000000">
      <w:pPr>
        <w:pStyle w:val="BodyText"/>
      </w:pPr>
      <w:r>
        <w:rPr>
          <w:b/>
          <w:bCs/>
        </w:rPr>
        <w:lastRenderedPageBreak/>
        <w:t>Pressure</w:t>
      </w:r>
    </w:p>
    <w:p w14:paraId="7D89B99C" w14:textId="77777777" w:rsidR="00D24F6D" w:rsidRDefault="00000000">
      <w:pPr>
        <w:pStyle w:val="BodyText"/>
      </w:pPr>
      <w:r>
        <w:rPr>
          <w:b/>
          <w:bCs/>
        </w:rPr>
        <w:t>H7 (Pressure × dyadic mean;</w:t>
      </w:r>
      <w:r>
        <w:t xml:space="preserve"> </w:t>
      </w:r>
      <w:commentRangeStart w:id="24"/>
      <w:r>
        <w:rPr>
          <w:b/>
          <w:bCs/>
        </w:rPr>
        <w:t>competing hypotheses</w:t>
      </w:r>
      <w:commentRangeEnd w:id="24"/>
      <w:r>
        <w:rPr>
          <w:rStyle w:val="CommentReference"/>
          <w:b/>
          <w:bCs/>
          <w:sz w:val="24"/>
          <w:szCs w:val="24"/>
        </w:rPr>
        <w:commentReference w:id="24"/>
      </w:r>
      <w:r>
        <w:rPr>
          <w:b/>
          <w:bCs/>
        </w:rPr>
        <w:t>).</w:t>
      </w:r>
    </w:p>
    <w:p w14:paraId="2034C88A" w14:textId="77777777" w:rsidR="00D24F6D" w:rsidRDefault="00000000">
      <w:pPr>
        <w:numPr>
          <w:ilvl w:val="0"/>
          <w:numId w:val="3"/>
        </w:numPr>
      </w:pPr>
      <w:r>
        <w:rPr>
          <w:b/>
          <w:bCs/>
        </w:rPr>
        <w:t>H7a (Pressure × dyadic mean; escalation).</w:t>
      </w:r>
      <w:r>
        <w:t xml:space="preserve"> In dyads with a higher dyad-mean of pressure, the daily associations between an individual’s experienced pressure and their (i) MVPA, (ii) relationship satisfaction, (iii) mood, and (iv) reactance are </w:t>
      </w:r>
      <w:r>
        <w:rPr>
          <w:i/>
          <w:iCs/>
        </w:rPr>
        <w:t>more</w:t>
      </w:r>
      <w:r>
        <w:t xml:space="preserve"> unfavorable.</w:t>
      </w:r>
    </w:p>
    <w:p w14:paraId="23FE1E37" w14:textId="77777777" w:rsidR="00D24F6D" w:rsidRDefault="00000000">
      <w:pPr>
        <w:numPr>
          <w:ilvl w:val="0"/>
          <w:numId w:val="3"/>
        </w:numPr>
      </w:pPr>
      <w:r>
        <w:rPr>
          <w:b/>
          <w:bCs/>
        </w:rPr>
        <w:t>H7b (Pressure × dyadic mean; normative shift).</w:t>
      </w:r>
      <w:r>
        <w:t xml:space="preserve"> In dyads with a higher dyad-mean of pressure, the daily associations between an individual’s experienced pressure and their (i) MVPA, (ii) relationship satisfaction, (iii) mood, and (iv) reactance are </w:t>
      </w:r>
      <w:r>
        <w:rPr>
          <w:i/>
          <w:iCs/>
        </w:rPr>
        <w:t>less</w:t>
      </w:r>
      <w:r>
        <w:t xml:space="preserve"> unfavorable.</w:t>
      </w:r>
    </w:p>
    <w:p w14:paraId="66D9F3C7" w14:textId="77777777" w:rsidR="00D24F6D" w:rsidRDefault="00000000">
      <w:pPr>
        <w:pStyle w:val="FirstParagraph"/>
      </w:pPr>
      <w:r>
        <w:rPr>
          <w:b/>
          <w:bCs/>
        </w:rPr>
        <w:t>H8 (Pressure × within-dyad difference; competing hypotheses).</w:t>
      </w:r>
    </w:p>
    <w:p w14:paraId="526A044A" w14:textId="77777777" w:rsidR="00D24F6D" w:rsidRDefault="00000000">
      <w:pPr>
        <w:numPr>
          <w:ilvl w:val="0"/>
          <w:numId w:val="4"/>
        </w:numPr>
      </w:pPr>
      <w:r>
        <w:rPr>
          <w:b/>
          <w:bCs/>
        </w:rPr>
        <w:t>H8a (Pressure × within-dyad difference; inequity).</w:t>
      </w:r>
      <w:r>
        <w:t xml:space="preserve"> For individuals who experience relatively more pressure than their partner on average, the daily associations between their experienced pressure and their (i) MVPA, (ii) relationship satisfaction, (iii) mood, and (iv) reactance are </w:t>
      </w:r>
      <w:r>
        <w:rPr>
          <w:i/>
          <w:iCs/>
        </w:rPr>
        <w:t>more</w:t>
      </w:r>
      <w:r>
        <w:t xml:space="preserve"> unfavorable, compared to individuals who experience relatively less pressure than their partner on average.</w:t>
      </w:r>
    </w:p>
    <w:p w14:paraId="48337368" w14:textId="77777777" w:rsidR="00D24F6D" w:rsidRDefault="00000000">
      <w:pPr>
        <w:numPr>
          <w:ilvl w:val="0"/>
          <w:numId w:val="4"/>
        </w:numPr>
      </w:pPr>
      <w:r>
        <w:rPr>
          <w:b/>
          <w:bCs/>
        </w:rPr>
        <w:t>H8b (Pressure × within-dyad difference; hierarchy).</w:t>
      </w:r>
      <w:r>
        <w:t xml:space="preserve"> For individuals who experience relatively more pressure than their partner on average, the daily associations between their experienced pressure and their (i) MVPA, (ii) relationship satisfaction, (iii) mood, and (iv) reactance are </w:t>
      </w:r>
      <w:r>
        <w:rPr>
          <w:i/>
          <w:iCs/>
        </w:rPr>
        <w:t>less</w:t>
      </w:r>
      <w:r>
        <w:t xml:space="preserve"> unfavorable, compared to individuals who experience relatively less pressure than their partner on average.</w:t>
      </w:r>
    </w:p>
    <w:p w14:paraId="78DF4587" w14:textId="77777777" w:rsidR="00D24F6D" w:rsidRDefault="00000000">
      <w:pPr>
        <w:pStyle w:val="FirstParagraph"/>
      </w:pPr>
      <w:r>
        <w:rPr>
          <w:b/>
          <w:bCs/>
        </w:rPr>
        <w:t>Autonomy-ambivalent control</w:t>
      </w:r>
    </w:p>
    <w:p w14:paraId="287B49B3" w14:textId="77777777" w:rsidR="00D24F6D" w:rsidRDefault="00000000">
      <w:pPr>
        <w:pStyle w:val="BodyText"/>
      </w:pPr>
      <w:r>
        <w:t xml:space="preserve">The interactions between daily autonomy-ambivalent control and </w:t>
      </w:r>
      <w:commentRangeStart w:id="25"/>
      <w:r>
        <w:t>dyadic climate</w:t>
      </w:r>
      <w:commentRangeEnd w:id="25"/>
      <w:r>
        <w:rPr>
          <w:rStyle w:val="CommentReference"/>
          <w:sz w:val="24"/>
          <w:szCs w:val="24"/>
        </w:rPr>
        <w:commentReference w:id="25"/>
      </w:r>
      <w:r>
        <w:t xml:space="preserve"> (dyad-mean and within-dyad difference) are investigated exploratorily for MVPA, relationship satisfaction, mood, and reactance.</w:t>
      </w:r>
    </w:p>
    <w:p w14:paraId="1E97BCEE" w14:textId="77777777" w:rsidR="00D24F6D" w:rsidRDefault="00000000">
      <w:pPr>
        <w:pStyle w:val="BodyText"/>
      </w:pPr>
      <w:r>
        <w:rPr>
          <w:b/>
          <w:bCs/>
        </w:rPr>
        <w:t>Actor-climate interactions</w:t>
      </w:r>
    </w:p>
    <w:p w14:paraId="3E37B3D4" w14:textId="77777777" w:rsidR="00D24F6D" w:rsidRDefault="00000000">
      <w:pPr>
        <w:pStyle w:val="BodyText"/>
      </w:pPr>
      <w:r>
        <w:rPr>
          <w:b/>
          <w:bCs/>
        </w:rPr>
        <w:t>Persuasion</w:t>
      </w:r>
    </w:p>
    <w:p w14:paraId="79FA9CC9" w14:textId="77777777" w:rsidR="00D24F6D" w:rsidRDefault="00000000">
      <w:pPr>
        <w:pStyle w:val="BodyText"/>
      </w:pPr>
      <w:r>
        <w:rPr>
          <w:b/>
          <w:bCs/>
        </w:rPr>
        <w:t>H9 (Persuasion × actor climate; diminishing returns/habituation).</w:t>
      </w:r>
      <w:r>
        <w:t xml:space="preserve"> For individuals with a higher person-mean of persuasion, the daily associations between their experienced persuasion and their (i) MVPA, (ii) relationship satisfaction, and (iii) mood are less favorable. The moderation regarding daily reactance is investigated exploratorily.</w:t>
      </w:r>
    </w:p>
    <w:p w14:paraId="1E5DC3E2" w14:textId="77777777" w:rsidR="00D24F6D" w:rsidRDefault="00000000">
      <w:pPr>
        <w:pStyle w:val="BodyText"/>
      </w:pPr>
      <w:r>
        <w:rPr>
          <w:b/>
          <w:bCs/>
        </w:rPr>
        <w:t>Pressure</w:t>
      </w:r>
    </w:p>
    <w:p w14:paraId="0E306822" w14:textId="77777777" w:rsidR="00D24F6D" w:rsidRDefault="00000000">
      <w:pPr>
        <w:pStyle w:val="BodyText"/>
      </w:pPr>
      <w:r>
        <w:rPr>
          <w:b/>
          <w:bCs/>
        </w:rPr>
        <w:t>H10 (Pressure × actor climate; competing hypotheses).</w:t>
      </w:r>
    </w:p>
    <w:p w14:paraId="72178836" w14:textId="77777777" w:rsidR="00D24F6D" w:rsidRDefault="00000000">
      <w:pPr>
        <w:numPr>
          <w:ilvl w:val="0"/>
          <w:numId w:val="5"/>
        </w:numPr>
      </w:pPr>
      <w:r>
        <w:rPr>
          <w:b/>
          <w:bCs/>
        </w:rPr>
        <w:t>H10a (Pressure × actor climate; sensitization/cumulation).</w:t>
      </w:r>
      <w:r>
        <w:t xml:space="preserve"> For individuals with a higher person-mean of pressure, the daily associations between their experienced </w:t>
      </w:r>
      <w:r>
        <w:lastRenderedPageBreak/>
        <w:t xml:space="preserve">pressure and their (i) MVPA, (ii) relationship satisfaction, (iii) mood, and (iv) reactance are </w:t>
      </w:r>
      <w:r>
        <w:rPr>
          <w:i/>
          <w:iCs/>
        </w:rPr>
        <w:t>more</w:t>
      </w:r>
      <w:r>
        <w:t xml:space="preserve"> unfavorable.</w:t>
      </w:r>
    </w:p>
    <w:p w14:paraId="0BD171BD" w14:textId="77777777" w:rsidR="00D24F6D" w:rsidRDefault="00000000">
      <w:pPr>
        <w:numPr>
          <w:ilvl w:val="0"/>
          <w:numId w:val="5"/>
        </w:numPr>
      </w:pPr>
      <w:r>
        <w:rPr>
          <w:b/>
          <w:bCs/>
        </w:rPr>
        <w:t>H10b (Pressure × actor climate; habituation/desensitization).</w:t>
      </w:r>
      <w:r>
        <w:t xml:space="preserve"> For individuals with a higher person-mean of pressure, the daily associations between their experienced pressure and their (i) MVPA, (ii) relationship satisfaction, (iii) mood, and (iv) reactance are </w:t>
      </w:r>
      <w:r>
        <w:rPr>
          <w:i/>
          <w:iCs/>
        </w:rPr>
        <w:t>less</w:t>
      </w:r>
      <w:r>
        <w:t xml:space="preserve"> unfavorable.</w:t>
      </w:r>
    </w:p>
    <w:p w14:paraId="7D050558" w14:textId="77777777" w:rsidR="00D24F6D" w:rsidRDefault="00000000">
      <w:pPr>
        <w:pStyle w:val="FirstParagraph"/>
      </w:pPr>
      <w:r>
        <w:rPr>
          <w:b/>
          <w:bCs/>
        </w:rPr>
        <w:t>Autonomy-ambivalent control</w:t>
      </w:r>
    </w:p>
    <w:p w14:paraId="44AB0F2F" w14:textId="77777777" w:rsidR="00D24F6D" w:rsidRDefault="00000000">
      <w:pPr>
        <w:pStyle w:val="BodyText"/>
      </w:pPr>
      <w:r>
        <w:t>The interactions between daily autonomy-ambivalent control and the person-mean are investigated exploratorily for (i) MVPA, (ii) relationship satisfaction, (iii) mood, and (iv) reactance.</w:t>
      </w:r>
    </w:p>
    <w:p w14:paraId="71724E9F" w14:textId="77777777" w:rsidR="00D24F6D" w:rsidRDefault="00000000">
      <w:pPr>
        <w:pStyle w:val="BodyText"/>
      </w:pPr>
      <w:r>
        <w:rPr>
          <w:b/>
          <w:bCs/>
        </w:rPr>
        <w:t>Partner-climate interactions</w:t>
      </w:r>
    </w:p>
    <w:p w14:paraId="493F0DB7" w14:textId="77777777" w:rsidR="00D24F6D" w:rsidRDefault="00000000">
      <w:pPr>
        <w:pStyle w:val="BodyText"/>
      </w:pPr>
      <w:r>
        <w:t>The interactions between daily social control (persuasion, pressure, and autonomy-ambivalent control) and the partner’s person-mean (e.g., whether daily associations are different for individuals whose partner experiences more control on average) are investigated exploratorily for (i) MVPA, (ii) relationship satisfaction, (iii) mood, and (iv) reactance. Due to space constraints, this analysis may only be reported and discussed briefly, e.g., in an appendix.</w:t>
      </w:r>
    </w:p>
    <w:p w14:paraId="12FE0B50" w14:textId="77777777" w:rsidR="00D24F6D" w:rsidRDefault="00000000">
      <w:pPr>
        <w:pStyle w:val="Heading3"/>
      </w:pPr>
      <w:bookmarkStart w:id="26" w:name="X01d93a364aa78ed68f37811bb62064ac4865b06"/>
      <w:bookmarkEnd w:id="7"/>
      <w:r>
        <w:t>Foreknowledge of data or evidence (selection)</w:t>
      </w:r>
    </w:p>
    <w:p w14:paraId="3704A9C5" w14:textId="77777777" w:rsidR="00D24F6D" w:rsidRDefault="00000000">
      <w:pPr>
        <w:pStyle w:val="FirstParagraph"/>
      </w:pPr>
      <w:r>
        <w:t>Only people other than the authors have observed the data. At least some of the data that will be used for this analysis plan have been accessed by people other than the authors. However, the authors certify that they have not observed any of that data and will not do so until after this plan is registered.</w:t>
      </w:r>
    </w:p>
    <w:p w14:paraId="48F1BCC3" w14:textId="77777777" w:rsidR="00D24F6D" w:rsidRDefault="00000000">
      <w:pPr>
        <w:pStyle w:val="Heading3"/>
      </w:pPr>
      <w:bookmarkStart w:id="27" w:name="Xa784c6fd86c2a5eb5aea0036b30ec815e907c17"/>
      <w:bookmarkEnd w:id="26"/>
      <w:r>
        <w:t>Explanation of foreknowledge and managing unintended influences</w:t>
      </w:r>
    </w:p>
    <w:p w14:paraId="7CE368A4" w14:textId="77777777" w:rsidR="00D24F6D" w:rsidRDefault="00000000">
      <w:pPr>
        <w:pStyle w:val="FirstParagraph"/>
      </w:pPr>
      <w:r>
        <w:t xml:space="preserve">Data collection is ongoing until </w:t>
      </w:r>
      <w:commentRangeStart w:id="28"/>
      <w:r>
        <w:t xml:space="preserve">summer </w:t>
      </w:r>
      <w:commentRangeEnd w:id="28"/>
      <w:r>
        <w:rPr>
          <w:rStyle w:val="CommentReference"/>
          <w:sz w:val="24"/>
          <w:szCs w:val="24"/>
        </w:rPr>
        <w:commentReference w:id="28"/>
      </w:r>
      <w:r>
        <w:t>2026. Two master theses accessed subsets of data collected before November 2025 (approximately N = 102 couples) to investigate social support (not social control). These projects do not overlap with the key predictors and decisions in the present analysis plan. No other individuals have accessed the data used for the present preregistered analyses.</w:t>
      </w:r>
    </w:p>
    <w:p w14:paraId="15A75D07" w14:textId="77777777" w:rsidR="00D24F6D" w:rsidRDefault="00000000">
      <w:pPr>
        <w:pStyle w:val="Heading2"/>
      </w:pPr>
      <w:bookmarkStart w:id="29" w:name="research-design"/>
      <w:bookmarkEnd w:id="6"/>
      <w:bookmarkEnd w:id="27"/>
      <w:r>
        <w:t>Research Design</w:t>
      </w:r>
    </w:p>
    <w:p w14:paraId="50A88FD6" w14:textId="77777777" w:rsidR="00D24F6D" w:rsidRDefault="00000000">
      <w:pPr>
        <w:pStyle w:val="Heading3"/>
      </w:pPr>
      <w:bookmarkStart w:id="30" w:name="study-type-selection"/>
      <w:r>
        <w:t>Study type (selection)</w:t>
      </w:r>
    </w:p>
    <w:p w14:paraId="6DA2EAB8" w14:textId="77777777" w:rsidR="00D24F6D" w:rsidRDefault="00000000">
      <w:pPr>
        <w:pStyle w:val="FirstParagraph"/>
      </w:pPr>
      <w:r>
        <w:t>Non-randomized study: Does not include random assignment of subjects to treatments or conditions. This usually includes correlational studies, observational studies, surveys, natural experiments, real-world evidence studies, regression discontinuity designs, and descriptive studies.</w:t>
      </w:r>
    </w:p>
    <w:p w14:paraId="1E1376DA" w14:textId="77777777" w:rsidR="00D24F6D" w:rsidRDefault="00000000">
      <w:pPr>
        <w:pStyle w:val="Heading3"/>
      </w:pPr>
      <w:bookmarkStart w:id="31" w:name="Xe4e1cbe4619ffb8601f73fa48b1a1bdcb677284"/>
      <w:bookmarkEnd w:id="30"/>
      <w:r>
        <w:lastRenderedPageBreak/>
        <w:t>Intention for causal interpretation (selection)</w:t>
      </w:r>
    </w:p>
    <w:p w14:paraId="6BC35326" w14:textId="77777777" w:rsidR="00D24F6D" w:rsidRDefault="00000000">
      <w:pPr>
        <w:pStyle w:val="FirstParagraph"/>
      </w:pPr>
      <w:r>
        <w:t>Indirect inference on causal relationship(s): This study is intended to examine a potential causal relationship, but is not designed to isolate the specific causal effect. This work may inform causal inference indirectly or advance insight toward future estimation of a causal relationship.</w:t>
      </w:r>
    </w:p>
    <w:p w14:paraId="3F59BD5C" w14:textId="77777777" w:rsidR="00D24F6D" w:rsidRDefault="00000000">
      <w:pPr>
        <w:pStyle w:val="Heading3"/>
      </w:pPr>
      <w:bookmarkStart w:id="32" w:name="X74a9cd1db08ab18b5eca530c9994c69b1091b28"/>
      <w:bookmarkEnd w:id="31"/>
      <w:r>
        <w:t>Blinding of experimental treatments (selection)</w:t>
      </w:r>
    </w:p>
    <w:p w14:paraId="70C24344" w14:textId="77777777" w:rsidR="00D24F6D" w:rsidRDefault="00000000">
      <w:pPr>
        <w:pStyle w:val="FirstParagraph"/>
      </w:pPr>
      <w:r>
        <w:t>No blinding is involved.</w:t>
      </w:r>
    </w:p>
    <w:p w14:paraId="679B8787" w14:textId="77777777" w:rsidR="00D24F6D" w:rsidRDefault="00000000">
      <w:pPr>
        <w:pStyle w:val="Heading3"/>
      </w:pPr>
      <w:bookmarkStart w:id="33" w:name="X7c669d4db3dbbd08c5b51ac573770535421cc0c"/>
      <w:bookmarkEnd w:id="32"/>
      <w:r>
        <w:t>Additional blinding during research or analysis</w:t>
      </w:r>
    </w:p>
    <w:p w14:paraId="54AB41C0" w14:textId="77777777" w:rsidR="00D24F6D" w:rsidRDefault="00000000">
      <w:pPr>
        <w:pStyle w:val="FirstParagraph"/>
      </w:pPr>
      <w:r>
        <w:t>No additional blinding is planned.</w:t>
      </w:r>
    </w:p>
    <w:p w14:paraId="49063851" w14:textId="77777777" w:rsidR="00D24F6D" w:rsidRDefault="00000000">
      <w:pPr>
        <w:pStyle w:val="Heading3"/>
      </w:pPr>
      <w:bookmarkStart w:id="34" w:name="study-design"/>
      <w:bookmarkEnd w:id="33"/>
      <w:r>
        <w:t>Study design</w:t>
      </w:r>
    </w:p>
    <w:p w14:paraId="0EAB65E7" w14:textId="77777777" w:rsidR="00D24F6D" w:rsidRDefault="00000000">
      <w:pPr>
        <w:pStyle w:val="FirstParagraph"/>
      </w:pPr>
      <w:r>
        <w:t>The study is a fully remote, intensive longitudinal dyadic design. After an initial screening, couples complete a baseline online questionnaire. Then, a 55-day phase with daily diaries in the evening and short ecological momentary assessments during the day commences. In this period, both partners also wear an ActiGraph Insight Watch to continuously assess physical activity (ActiGraph, 2018).</w:t>
      </w:r>
    </w:p>
    <w:p w14:paraId="607106AA" w14:textId="77777777" w:rsidR="00D24F6D" w:rsidRDefault="00000000">
      <w:pPr>
        <w:pStyle w:val="BodyText"/>
      </w:pPr>
      <w:r>
        <w:t>The first 7 days serve as a measurement-only baseline (no interventions). After the baseline week, they receive (a) a one-time dyadic input about skilled social support and social control (Rafaeli &amp; Gleason, 2009; Lewis &amp; Rook, 1999), (b) weekly collaborative goal setting and planning prompts (Burkert et al., 2011; Prestwich et al., 2005), and (c) dyadic JITAIs delivered via push notifications at selected decision points and tailored to questionnaire- and planning-based indicators (Nahum-Shani et al., 2018). JITAIs are tailored to participants’ states and behaviors and are designed to trigger dyadic social exchange processes relevant for physical activity change.</w:t>
      </w:r>
    </w:p>
    <w:p w14:paraId="6B1986FD" w14:textId="77777777" w:rsidR="00D24F6D" w:rsidRDefault="00000000">
      <w:pPr>
        <w:pStyle w:val="BodyText"/>
      </w:pPr>
      <w:r>
        <w:t xml:space="preserve">The current preregistration focuses on correlational associations between health-related social control and various outcomes. The delivery of interventions will be accounted for as potential confounders (see Analysis Plan), but intervention effects are not the target of inference and are investigated separately (see </w:t>
      </w:r>
      <w:hyperlink r:id="rId11">
        <w:r>
          <w:rPr>
            <w:rStyle w:val="Hyperlink"/>
          </w:rPr>
          <w:t>https://osf.io/b36f7/overview</w:t>
        </w:r>
      </w:hyperlink>
      <w:r>
        <w:t>).</w:t>
      </w:r>
    </w:p>
    <w:p w14:paraId="4D5C92F1" w14:textId="77777777" w:rsidR="00D24F6D" w:rsidRDefault="00D24F6D">
      <w:pPr>
        <w:pStyle w:val="BodyText"/>
      </w:pPr>
    </w:p>
    <w:p w14:paraId="737E0B47" w14:textId="77777777" w:rsidR="00D24F6D" w:rsidRDefault="00000000">
      <w:pPr>
        <w:pStyle w:val="BodyText"/>
      </w:pPr>
      <w:r>
        <w:t>References:</w:t>
      </w:r>
    </w:p>
    <w:p w14:paraId="458399EE" w14:textId="77777777" w:rsidR="00D24F6D" w:rsidRDefault="00000000">
      <w:pPr>
        <w:pStyle w:val="BodyText"/>
      </w:pPr>
      <w:r>
        <w:t xml:space="preserve">- ActiGraph. (2018). CentrePoint Insight Watch [Computer software]. </w:t>
      </w:r>
      <w:hyperlink r:id="rId12">
        <w:r>
          <w:rPr>
            <w:rStyle w:val="Hyperlink"/>
          </w:rPr>
          <w:t>https://theactigraph.com/cpiw</w:t>
        </w:r>
      </w:hyperlink>
    </w:p>
    <w:p w14:paraId="64B5121B" w14:textId="77777777" w:rsidR="00D24F6D" w:rsidRDefault="00000000">
      <w:pPr>
        <w:pStyle w:val="BodyText"/>
      </w:pPr>
      <w:r>
        <w:t xml:space="preserve">- Staudenmayer, J., He, S., Hickey, A., Sasaki, J., &amp; Freedson, P. (2015). Methods to estimate aspects of physical activity and sedentary behavior from high-frequency wrist accelerometer measurements. </w:t>
      </w:r>
      <w:r>
        <w:rPr>
          <w:i/>
          <w:iCs/>
        </w:rPr>
        <w:t>Journal of Applied Physiology, 119</w:t>
      </w:r>
      <w:r>
        <w:t>(4), 396–403.</w:t>
      </w:r>
    </w:p>
    <w:p w14:paraId="11847D10" w14:textId="77777777" w:rsidR="00D24F6D" w:rsidRDefault="00000000">
      <w:pPr>
        <w:pStyle w:val="BodyText"/>
      </w:pPr>
      <w:r>
        <w:lastRenderedPageBreak/>
        <w:t xml:space="preserve">- Burkert, S., Scholz, U., Gralla, O., Roigas, J., &amp; Knoll, N. (2011). Dyadic planning of health-behavior change after prostatectomy: A randomized-controlled planning intervention. </w:t>
      </w:r>
      <w:r>
        <w:rPr>
          <w:i/>
          <w:iCs/>
        </w:rPr>
        <w:t>Social Science &amp; Medicine, 73</w:t>
      </w:r>
      <w:r>
        <w:t xml:space="preserve">(5), 783–792. </w:t>
      </w:r>
      <w:hyperlink r:id="rId13">
        <w:r>
          <w:rPr>
            <w:rStyle w:val="Hyperlink"/>
          </w:rPr>
          <w:t>https://doi.org/10.1016/j.socscimed.2011.06.016</w:t>
        </w:r>
      </w:hyperlink>
    </w:p>
    <w:p w14:paraId="22BE8DD4" w14:textId="77777777" w:rsidR="00D24F6D" w:rsidRDefault="00000000">
      <w:pPr>
        <w:pStyle w:val="BodyText"/>
      </w:pPr>
      <w:r>
        <w:t xml:space="preserve">- Lewis, M. A., &amp; Rook, K. S. (1999). Social control in personal relationships: Impact on health behaviors and psychological distress. </w:t>
      </w:r>
      <w:r>
        <w:rPr>
          <w:i/>
          <w:iCs/>
        </w:rPr>
        <w:t>Health Psychology, 18</w:t>
      </w:r>
      <w:r>
        <w:t>(1), 63–71.</w:t>
      </w:r>
    </w:p>
    <w:p w14:paraId="0353CEA4" w14:textId="77777777" w:rsidR="00D24F6D" w:rsidRDefault="00000000">
      <w:pPr>
        <w:pStyle w:val="BodyText"/>
      </w:pPr>
      <w:r>
        <w:t xml:space="preserve">- Nahum-Shani, I., Smith, S. N., Spring, B. J., Collins, L. M., Witkiewitz, K., Tewari, A., &amp; Murphy, S. A. (2018). Just-in-time adaptive interventions (JITAIs) in mobile health: Key components and design principles for ongoing health behavior support. </w:t>
      </w:r>
      <w:r>
        <w:rPr>
          <w:i/>
          <w:iCs/>
        </w:rPr>
        <w:t>Annals of Behavioral Medicine, 52</w:t>
      </w:r>
      <w:r>
        <w:t xml:space="preserve">(6), 446–462. </w:t>
      </w:r>
      <w:hyperlink r:id="rId14">
        <w:r>
          <w:rPr>
            <w:rStyle w:val="Hyperlink"/>
          </w:rPr>
          <w:t>https://doi.org/10.1007/s12160-016-9830-8</w:t>
        </w:r>
      </w:hyperlink>
    </w:p>
    <w:p w14:paraId="412B2E23" w14:textId="77777777" w:rsidR="00D24F6D" w:rsidRDefault="00000000">
      <w:pPr>
        <w:pStyle w:val="BodyText"/>
      </w:pPr>
      <w:r>
        <w:t xml:space="preserve">- Prestwich, A., Conner, M., Lawton, R., Bailey, W., Litman, J., &amp; Molyneaux, V. (2005). Individual and collaborative implementation intentions and the promotion of breast self-examination. </w:t>
      </w:r>
      <w:r>
        <w:rPr>
          <w:i/>
          <w:iCs/>
        </w:rPr>
        <w:t>Psychology &amp; Health, 20</w:t>
      </w:r>
      <w:r>
        <w:t xml:space="preserve">(6), 743–760. </w:t>
      </w:r>
      <w:hyperlink r:id="rId15">
        <w:r>
          <w:rPr>
            <w:rStyle w:val="Hyperlink"/>
          </w:rPr>
          <w:t>https://doi.org/10.1080/14768320500183335</w:t>
        </w:r>
      </w:hyperlink>
    </w:p>
    <w:p w14:paraId="3095D646" w14:textId="77777777" w:rsidR="00D24F6D" w:rsidRDefault="00000000">
      <w:pPr>
        <w:pStyle w:val="BodyText"/>
      </w:pPr>
      <w:r>
        <w:t xml:space="preserve">- Rafaeli, E., &amp; Gleason, M. E. J. (2009). Skilled support within intimate relationships. </w:t>
      </w:r>
      <w:r>
        <w:rPr>
          <w:i/>
          <w:iCs/>
        </w:rPr>
        <w:t>Journal of Family Theory &amp; Review, 1</w:t>
      </w:r>
      <w:r>
        <w:t>(1), 20–37.</w:t>
      </w:r>
    </w:p>
    <w:p w14:paraId="7F4A18F0" w14:textId="77777777" w:rsidR="00D24F6D" w:rsidRDefault="00000000">
      <w:pPr>
        <w:pStyle w:val="Heading3"/>
      </w:pPr>
      <w:bookmarkStart w:id="35" w:name="randomization"/>
      <w:bookmarkEnd w:id="34"/>
      <w:r>
        <w:t>Randomization</w:t>
      </w:r>
    </w:p>
    <w:p w14:paraId="58ABA366" w14:textId="77777777" w:rsidR="00D24F6D" w:rsidRDefault="00000000">
      <w:pPr>
        <w:pStyle w:val="FirstParagraph"/>
      </w:pPr>
      <w:r>
        <w:t>The parent study includes micro-randomization at various pre-specified decision points, where a dyadic JITAI (vs no JITAI) may be delivered.</w:t>
      </w:r>
    </w:p>
    <w:p w14:paraId="4BA875C4" w14:textId="77777777" w:rsidR="00D24F6D" w:rsidRDefault="00000000">
      <w:pPr>
        <w:pStyle w:val="BodyText"/>
      </w:pPr>
      <w:r>
        <w:t>For this paper, randomization is not used for causal inference. However, we will control for interventions.</w:t>
      </w:r>
    </w:p>
    <w:p w14:paraId="18BAC7C2" w14:textId="77777777" w:rsidR="00D24F6D" w:rsidRDefault="00000000">
      <w:pPr>
        <w:pStyle w:val="Heading2"/>
      </w:pPr>
      <w:bookmarkStart w:id="36" w:name="sampling"/>
      <w:bookmarkEnd w:id="29"/>
      <w:bookmarkEnd w:id="35"/>
      <w:r>
        <w:t>Sampling</w:t>
      </w:r>
    </w:p>
    <w:p w14:paraId="508E1200" w14:textId="77777777" w:rsidR="00D24F6D" w:rsidRDefault="00000000">
      <w:pPr>
        <w:pStyle w:val="Heading3"/>
      </w:pPr>
      <w:bookmarkStart w:id="37" w:name="data-collection-procedures"/>
      <w:r>
        <w:t>Data collection procedures</w:t>
      </w:r>
    </w:p>
    <w:p w14:paraId="75557080" w14:textId="77777777" w:rsidR="00D24F6D" w:rsidRDefault="00000000">
      <w:pPr>
        <w:pStyle w:val="FirstParagraph"/>
      </w:pPr>
      <w:r>
        <w:t>Romantic couples are recruited primarily via social media advertisements, with additional recruitment via mailing lists and flyers. Participation including study information and informed consent are completed online and fully remote. A wrist-worn accelerometer (Insight Watch) is sent by mail. Questionnaires and intervention content are delivered via a study smartphone app.</w:t>
      </w:r>
    </w:p>
    <w:p w14:paraId="69C9CAEB" w14:textId="77777777" w:rsidR="00D24F6D" w:rsidRDefault="00000000">
      <w:pPr>
        <w:pStyle w:val="BodyText"/>
      </w:pPr>
      <w:r>
        <w:t xml:space="preserve">After enrollment and a baseline questionnaire (approx. 10–20 minutes), both partners wear the Insight Watch for the full 55-day period. Participants receive a brief dyadic informational module on social support/social control (approx. 15–25 minutes). During the diary phase, they complete a daily evening questionnaire (approx. 5–10 minutes/day), daily one-minute questionnaires, receive up to 1–3 brief app messages per day (with some days/weeks receiving none), and complete a short weekly planning session together (approx. 5–10 minutes). After the diary phase, they return the watch and complete an end </w:t>
      </w:r>
      <w:r>
        <w:lastRenderedPageBreak/>
        <w:t>questionnaire (approx. 10–15 minutes). Three months later, couples complete a final follow-up questionnaire.</w:t>
      </w:r>
    </w:p>
    <w:p w14:paraId="7D7A9347" w14:textId="77777777" w:rsidR="00D24F6D" w:rsidRDefault="00000000">
      <w:pPr>
        <w:pStyle w:val="BodyText"/>
      </w:pPr>
      <w:r>
        <w:rPr>
          <w:b/>
          <w:bCs/>
        </w:rPr>
        <w:t>Inclusion criteria:</w:t>
      </w:r>
    </w:p>
    <w:p w14:paraId="6270F8F0" w14:textId="77777777" w:rsidR="00D24F6D" w:rsidRDefault="00000000">
      <w:pPr>
        <w:pStyle w:val="BodyText"/>
      </w:pPr>
      <w:r>
        <w:t>Both partners:</w:t>
      </w:r>
    </w:p>
    <w:p w14:paraId="230AE9A1" w14:textId="77777777" w:rsidR="00D24F6D" w:rsidRDefault="00000000">
      <w:pPr>
        <w:numPr>
          <w:ilvl w:val="0"/>
          <w:numId w:val="6"/>
        </w:numPr>
      </w:pPr>
      <w:r>
        <w:t>are over 18 years old</w:t>
      </w:r>
    </w:p>
    <w:p w14:paraId="74B1822D" w14:textId="77777777" w:rsidR="00D24F6D" w:rsidRDefault="00000000">
      <w:pPr>
        <w:numPr>
          <w:ilvl w:val="0"/>
          <w:numId w:val="6"/>
        </w:numPr>
      </w:pPr>
      <w:r>
        <w:t>are in a committed romantic relationship with each other</w:t>
      </w:r>
    </w:p>
    <w:p w14:paraId="58DBFD7E" w14:textId="77777777" w:rsidR="00D24F6D" w:rsidRDefault="00000000">
      <w:pPr>
        <w:numPr>
          <w:ilvl w:val="0"/>
          <w:numId w:val="6"/>
        </w:numPr>
      </w:pPr>
      <w:r>
        <w:t>have lived together at least for 6 months (and expect to continue cohabiting for the coming months)</w:t>
      </w:r>
    </w:p>
    <w:p w14:paraId="0A98C270" w14:textId="77777777" w:rsidR="00D24F6D" w:rsidRDefault="00000000">
      <w:pPr>
        <w:numPr>
          <w:ilvl w:val="0"/>
          <w:numId w:val="6"/>
        </w:numPr>
      </w:pPr>
      <w:r>
        <w:t>currently engage in less than 150 minutes of moderate to vigorous physical activity (MVPA) per week</w:t>
      </w:r>
    </w:p>
    <w:p w14:paraId="2167F93D" w14:textId="77777777" w:rsidR="00D24F6D" w:rsidRDefault="00000000">
      <w:pPr>
        <w:numPr>
          <w:ilvl w:val="0"/>
          <w:numId w:val="6"/>
        </w:numPr>
      </w:pPr>
      <w:r>
        <w:t>intend to become more physically active</w:t>
      </w:r>
    </w:p>
    <w:p w14:paraId="2CD155A1" w14:textId="77777777" w:rsidR="00D24F6D" w:rsidRDefault="00000000">
      <w:pPr>
        <w:numPr>
          <w:ilvl w:val="0"/>
          <w:numId w:val="6"/>
        </w:numPr>
      </w:pPr>
      <w:r>
        <w:t>speak German fluently</w:t>
      </w:r>
    </w:p>
    <w:p w14:paraId="75CECB5D" w14:textId="77777777" w:rsidR="00D24F6D" w:rsidRDefault="00000000">
      <w:pPr>
        <w:numPr>
          <w:ilvl w:val="0"/>
          <w:numId w:val="6"/>
        </w:numPr>
      </w:pPr>
      <w:r>
        <w:t>do not have known health reasons contraindicating physical activity (medical clarification necessary if unsure)</w:t>
      </w:r>
    </w:p>
    <w:p w14:paraId="195CB2BD" w14:textId="77777777" w:rsidR="00D24F6D" w:rsidRDefault="00000000">
      <w:pPr>
        <w:numPr>
          <w:ilvl w:val="0"/>
          <w:numId w:val="6"/>
        </w:numPr>
      </w:pPr>
      <w:r>
        <w:t>own and regularly use a smartphone (iOS or Android)</w:t>
      </w:r>
    </w:p>
    <w:p w14:paraId="1441AB32" w14:textId="77777777" w:rsidR="00D24F6D" w:rsidRDefault="00000000">
      <w:pPr>
        <w:numPr>
          <w:ilvl w:val="0"/>
          <w:numId w:val="6"/>
        </w:numPr>
      </w:pPr>
      <w:r>
        <w:t>have access to a Windows 10/11 computer with USB for watch synchronization/reset during the study</w:t>
      </w:r>
    </w:p>
    <w:p w14:paraId="365148EC" w14:textId="77777777" w:rsidR="00D24F6D" w:rsidRDefault="00000000">
      <w:pPr>
        <w:numPr>
          <w:ilvl w:val="0"/>
          <w:numId w:val="6"/>
        </w:numPr>
      </w:pPr>
      <w:r>
        <w:t>did not participate in the pilot study</w:t>
      </w:r>
    </w:p>
    <w:p w14:paraId="67676292" w14:textId="77777777" w:rsidR="00D24F6D" w:rsidRDefault="00000000">
      <w:pPr>
        <w:pStyle w:val="FirstParagraph"/>
      </w:pPr>
      <w:r>
        <w:rPr>
          <w:b/>
          <w:bCs/>
        </w:rPr>
        <w:t>Compensation:</w:t>
      </w:r>
    </w:p>
    <w:p w14:paraId="043D56E8" w14:textId="77777777" w:rsidR="00D24F6D" w:rsidRDefault="00000000">
      <w:pPr>
        <w:pStyle w:val="BodyText"/>
      </w:pPr>
      <w:r>
        <w:t>Full participation as a couple (including return of the accelerometer) is compensated with 200 CHF per couple (100 CHF per person). Couples receive 170 CHF after completing the intensive longitudinal study phase and 30 CHF for the final follow-up questionnaire.</w:t>
      </w:r>
    </w:p>
    <w:p w14:paraId="403BA9EB" w14:textId="77777777" w:rsidR="00D24F6D" w:rsidRDefault="00000000">
      <w:pPr>
        <w:pStyle w:val="Heading3"/>
      </w:pPr>
      <w:bookmarkStart w:id="38" w:name="sample-size"/>
      <w:bookmarkEnd w:id="37"/>
      <w:r>
        <w:t>Sample size</w:t>
      </w:r>
    </w:p>
    <w:p w14:paraId="4BF27995" w14:textId="77777777" w:rsidR="00D24F6D" w:rsidRDefault="00000000">
      <w:pPr>
        <w:pStyle w:val="FirstParagraph"/>
      </w:pPr>
      <w:commentRangeStart w:id="39"/>
      <w:commentRangeStart w:id="40"/>
      <w:commentRangeStart w:id="41"/>
      <w:commentRangeStart w:id="42"/>
      <w:commentRangeStart w:id="43"/>
      <w:r>
        <w:t xml:space="preserve">Planned target sample size: 250 couples. Final N is determined by recruitment success before the end of data collection in summer 2026 and is expected to fall between </w:t>
      </w:r>
      <w:r>
        <w:rPr>
          <w:highlight w:val="yellow"/>
        </w:rPr>
        <w:t>100 and 150</w:t>
      </w:r>
      <w:r>
        <w:t xml:space="preserve"> couples.</w:t>
      </w:r>
      <w:commentRangeEnd w:id="41"/>
      <w:r>
        <w:rPr>
          <w:rStyle w:val="CommentReference"/>
          <w:sz w:val="24"/>
          <w:szCs w:val="24"/>
        </w:rPr>
        <w:commentReference w:id="41"/>
      </w:r>
      <w:commentRangeEnd w:id="42"/>
      <w:r>
        <w:rPr>
          <w:rStyle w:val="CommentReference"/>
          <w:sz w:val="24"/>
          <w:szCs w:val="24"/>
        </w:rPr>
        <w:commentReference w:id="42"/>
      </w:r>
      <w:commentRangeEnd w:id="43"/>
      <w:r>
        <w:rPr>
          <w:rStyle w:val="CommentReference"/>
          <w:sz w:val="24"/>
          <w:szCs w:val="24"/>
        </w:rPr>
        <w:commentReference w:id="43"/>
      </w:r>
      <w:commentRangeEnd w:id="40"/>
      <w:r>
        <w:rPr>
          <w:rStyle w:val="CommentReference"/>
          <w:sz w:val="24"/>
          <w:szCs w:val="24"/>
        </w:rPr>
        <w:commentReference w:id="40"/>
      </w:r>
      <w:commentRangeEnd w:id="39"/>
      <w:r>
        <w:rPr>
          <w:rStyle w:val="CommentReference"/>
          <w:sz w:val="24"/>
          <w:szCs w:val="24"/>
        </w:rPr>
        <w:commentReference w:id="39"/>
      </w:r>
    </w:p>
    <w:p w14:paraId="2B403A79" w14:textId="77777777" w:rsidR="00D24F6D" w:rsidRDefault="00000000">
      <w:pPr>
        <w:pStyle w:val="Heading3"/>
      </w:pPr>
      <w:bookmarkStart w:id="44" w:name="sample-size-rationale"/>
      <w:bookmarkEnd w:id="38"/>
      <w:r>
        <w:t>Sample size rationale</w:t>
      </w:r>
    </w:p>
    <w:p w14:paraId="5A0FEF60" w14:textId="77777777" w:rsidR="00D24F6D" w:rsidRDefault="00000000">
      <w:pPr>
        <w:pStyle w:val="FirstParagraph"/>
      </w:pPr>
      <w:r>
        <w:t>The target sample size was determined by the parent project’s goals, focusing on powering intervention-related analyses in the micro-randomized design. We will include all available couples from the parent project. Therefore, the sample size for this observational study is fixed by data availability.</w:t>
      </w:r>
    </w:p>
    <w:p w14:paraId="305F114A" w14:textId="77777777" w:rsidR="00D24F6D" w:rsidRDefault="00000000">
      <w:pPr>
        <w:pStyle w:val="BodyText"/>
      </w:pPr>
      <w:r>
        <w:lastRenderedPageBreak/>
        <w:t xml:space="preserve">For the present paper’s models, simulation-based power analyses informed by pilot study data (N = 38 couples) were performed for a lower bound of </w:t>
      </w:r>
      <w:commentRangeStart w:id="45"/>
      <w:commentRangeStart w:id="46"/>
      <w:r>
        <w:t>N = 100 couples</w:t>
      </w:r>
      <w:commentRangeEnd w:id="45"/>
      <w:r>
        <w:rPr>
          <w:rStyle w:val="CommentReference"/>
          <w:sz w:val="24"/>
          <w:szCs w:val="24"/>
        </w:rPr>
        <w:commentReference w:id="45"/>
      </w:r>
      <w:commentRangeEnd w:id="46"/>
      <w:r>
        <w:rPr>
          <w:rStyle w:val="CommentReference"/>
          <w:sz w:val="24"/>
          <w:szCs w:val="24"/>
        </w:rPr>
        <w:commentReference w:id="46"/>
      </w:r>
      <w:r>
        <w:t xml:space="preserve"> and an upper bound of N = 150 couples. The primary goal is adequate non-zero 95% CrI detection for the focal moderation terms (actor within-person effect × dyadic mean, actor within-person effect × within-dyad difference, and actor within-person effect × person-mean). Due to computational constraints, the full simulation-based power analysis is reported for the persuasion interactions only. The same model structure, effect-size conventions, and decision rules apply to other strategies, although power may be slightly different.</w:t>
      </w:r>
    </w:p>
    <w:p w14:paraId="5967166E" w14:textId="77777777" w:rsidR="00D24F6D" w:rsidRDefault="00000000">
      <w:pPr>
        <w:pStyle w:val="BodyText"/>
      </w:pPr>
      <w:r>
        <w:t>Power analyses target the focal two-way interaction terms and evaluate several effect-size assumptions. Effects are defined per 1 SD increase in the interaction term on the model’s link scale and aligned with common small/medium/large conventions (Cohen, 1988; Chinn, 2000):</w:t>
      </w:r>
    </w:p>
    <w:p w14:paraId="62D46ED9" w14:textId="77777777" w:rsidR="00D24F6D" w:rsidRDefault="00000000">
      <w:pPr>
        <w:numPr>
          <w:ilvl w:val="0"/>
          <w:numId w:val="7"/>
        </w:numPr>
      </w:pPr>
      <w:r>
        <w:t>Logit-linked outcomes (binary, cumulative/ordinal, Beta, and hurdle logit parts): 0.36, 0.91, 1.45 log-odds (OR ≈ 1.43, 2.48, 4.30), obtained by converting Cohen’s d to log-odds (Chinn, 2000).</w:t>
      </w:r>
    </w:p>
    <w:p w14:paraId="0AAD6276" w14:textId="77777777" w:rsidR="00D24F6D" w:rsidRDefault="00000000">
      <w:pPr>
        <w:numPr>
          <w:ilvl w:val="0"/>
          <w:numId w:val="7"/>
        </w:numPr>
      </w:pPr>
      <w:r>
        <w:t>Lognormal continuous outcomes (including positive parts of hurdle-lognormal models): 0.20, 0.50, 0.80 SD units on log(y&gt;0).</w:t>
      </w:r>
    </w:p>
    <w:p w14:paraId="38A7045C" w14:textId="77777777" w:rsidR="00D24F6D" w:rsidRDefault="00000000">
      <w:pPr>
        <w:numPr>
          <w:ilvl w:val="0"/>
          <w:numId w:val="7"/>
        </w:numPr>
      </w:pPr>
      <w:r>
        <w:t>Gaussian and skew-normal identity outcomes: 0.20, 0.50, 0.80 SD units of the outcome.</w:t>
      </w:r>
    </w:p>
    <w:p w14:paraId="7A5F1FCD" w14:textId="77777777" w:rsidR="00D24F6D" w:rsidRDefault="00000000">
      <w:pPr>
        <w:pStyle w:val="FirstParagraph"/>
      </w:pPr>
      <w:r>
        <w:t>Note that the 0.20/0.50/0.80 thresholds follow Cohen’s small/medium/large benchmarks (Cohen, 1988). For logit-linked outcomes, thresholds are obtained by converting Cohen’s d to log-odds via Chinn’s approximation (Chinn, 2000).</w:t>
      </w:r>
    </w:p>
    <w:p w14:paraId="2E53E845" w14:textId="77777777" w:rsidR="00D24F6D" w:rsidRDefault="00000000">
      <w:pPr>
        <w:pStyle w:val="BodyText"/>
      </w:pPr>
      <w:r>
        <w:t>Power was defined as the proportion of simulations in which the 95% credible interval for the focal interaction excluded zero (non-zero 95% CrI detection).</w:t>
      </w:r>
    </w:p>
    <w:p w14:paraId="64026F03" w14:textId="77777777" w:rsidR="00D24F6D" w:rsidRDefault="00000000">
      <w:pPr>
        <w:pStyle w:val="BodyText"/>
      </w:pPr>
      <w:r>
        <w:t>Note: The power analysis defines effects per 1 SD of the interaction term for comparability across outcomes and the ability to align effect sizes with conventions. The primary outcome models themselves that will be reported in the paper will not be standardized.</w:t>
      </w:r>
    </w:p>
    <w:p w14:paraId="4C69BF06" w14:textId="77777777" w:rsidR="00D24F6D" w:rsidRDefault="00000000">
      <w:pPr>
        <w:pStyle w:val="BodyText"/>
      </w:pPr>
      <w:r>
        <w:t>N = 150: Upper-bound simulations for N = 150 couples (persuasion models) show very high power for most focal interaction terms even at small standardized effect assumptions (continuous: β = 0.20 SD; logit-linked: log-odds = 0.363). Specifically, power was 0.96–1.00 for self-reported MVPA (binary part), 0.91–1.00 for reactance (positive part), and 1.00 for relationship satisfaction, mood, device-based MVPA, and self-reported MVPA (positive part). For reactance (binary part), power was lower for small effects (0.37–0.58 at log-odds = 0.363) but adequate for medium effects (0.92–0.98 at log-odds = 0.907).</w:t>
      </w:r>
    </w:p>
    <w:p w14:paraId="0FD22977" w14:textId="77777777" w:rsidR="00D24F6D" w:rsidRDefault="00000000">
      <w:pPr>
        <w:pStyle w:val="BodyText"/>
      </w:pPr>
      <w:r>
        <w:t>N = 100: Lower-bound simulations for N = 100 couples show mixed power at small standardized effect assumptions (continuous: β = 0.20 SD; logit-linked: log-odds = 0.363). Specifically, power was 0.99–1.00 for relationship satisfaction, 0.86–1.00 for self-reported MVPA (binary part), 0.85–1.00 for reactance (positive part), and 1.00 for mood, device-</w:t>
      </w:r>
      <w:r>
        <w:lastRenderedPageBreak/>
        <w:t>based MVPA, and self-reported MVPA (positive part). For reactance (binary part), power was lower for small effects (0.23–0.39 at log-odds = 0.363), increased for medium effects (0.74–0.94 at log-odds = 0.907), and was high for large effects (0.96–0.99 at log-odds = 1.451).</w:t>
      </w:r>
    </w:p>
    <w:p w14:paraId="0C8D7D5F" w14:textId="77777777" w:rsidR="00D24F6D" w:rsidRDefault="00000000">
      <w:pPr>
        <w:pStyle w:val="BodyText"/>
      </w:pPr>
      <w:r>
        <w:t>References:</w:t>
      </w:r>
    </w:p>
    <w:p w14:paraId="2B0F4F66" w14:textId="77777777" w:rsidR="00D24F6D" w:rsidRDefault="00000000">
      <w:pPr>
        <w:pStyle w:val="BodyText"/>
      </w:pPr>
      <w:r>
        <w:t xml:space="preserve">- Cohen, J. (1988). </w:t>
      </w:r>
      <w:r>
        <w:rPr>
          <w:i/>
          <w:iCs/>
        </w:rPr>
        <w:t>Statistical power analysis for the behavioral sciences</w:t>
      </w:r>
      <w:r>
        <w:t xml:space="preserve"> (2nd ed.). Lawrence Erlbaum.</w:t>
      </w:r>
    </w:p>
    <w:p w14:paraId="0565C424" w14:textId="77777777" w:rsidR="00D24F6D" w:rsidRDefault="00000000">
      <w:pPr>
        <w:pStyle w:val="BodyText"/>
      </w:pPr>
      <w:r>
        <w:t xml:space="preserve">- Chinn, S. (2000). A simple method for converting an odds ratio to effect size. </w:t>
      </w:r>
      <w:r>
        <w:rPr>
          <w:i/>
          <w:iCs/>
        </w:rPr>
        <w:t>Statistics in Medicine, 19</w:t>
      </w:r>
      <w:r>
        <w:t xml:space="preserve">(22), 3127–3131. </w:t>
      </w:r>
      <w:hyperlink r:id="rId16">
        <w:r>
          <w:rPr>
            <w:rStyle w:val="Hyperlink"/>
          </w:rPr>
          <w:t>https://doi.org/10.1002/1097-0258(20001130)19:22&lt;3127::AID-SIM784&gt;3.0.CO;2-M</w:t>
        </w:r>
      </w:hyperlink>
    </w:p>
    <w:p w14:paraId="2C224284" w14:textId="77777777" w:rsidR="00D24F6D" w:rsidRDefault="00000000">
      <w:pPr>
        <w:pStyle w:val="Heading3"/>
      </w:pPr>
      <w:bookmarkStart w:id="47" w:name="starting-and-stopping-rules"/>
      <w:bookmarkEnd w:id="44"/>
      <w:r>
        <w:t>Starting and stopping rules</w:t>
      </w:r>
    </w:p>
    <w:p w14:paraId="395E8697" w14:textId="77777777" w:rsidR="00D24F6D" w:rsidRDefault="00000000">
      <w:pPr>
        <w:pStyle w:val="FirstParagraph"/>
      </w:pPr>
      <w:r>
        <w:t xml:space="preserve">Recruitment and data collection continue until the target N is reached or the study is terminated due to funding-related time constraints (expected in summer </w:t>
      </w:r>
      <w:commentRangeStart w:id="48"/>
      <w:commentRangeStart w:id="49"/>
      <w:commentRangeStart w:id="50"/>
      <w:commentRangeStart w:id="51"/>
      <w:r>
        <w:t>2026).</w:t>
      </w:r>
      <w:commentRangeEnd w:id="48"/>
      <w:r>
        <w:rPr>
          <w:rStyle w:val="CommentReference"/>
          <w:sz w:val="24"/>
          <w:szCs w:val="24"/>
        </w:rPr>
        <w:commentReference w:id="48"/>
      </w:r>
      <w:commentRangeEnd w:id="49"/>
      <w:r>
        <w:rPr>
          <w:rStyle w:val="CommentReference"/>
          <w:sz w:val="24"/>
          <w:szCs w:val="24"/>
        </w:rPr>
        <w:commentReference w:id="49"/>
      </w:r>
      <w:commentRangeEnd w:id="50"/>
      <w:r>
        <w:rPr>
          <w:rStyle w:val="CommentReference"/>
          <w:sz w:val="24"/>
          <w:szCs w:val="24"/>
        </w:rPr>
        <w:commentReference w:id="50"/>
      </w:r>
      <w:commentRangeEnd w:id="51"/>
      <w:r>
        <w:rPr>
          <w:rStyle w:val="CommentReference"/>
          <w:sz w:val="24"/>
          <w:szCs w:val="24"/>
        </w:rPr>
        <w:commentReference w:id="51"/>
      </w:r>
    </w:p>
    <w:p w14:paraId="36D62133" w14:textId="77777777" w:rsidR="00D24F6D" w:rsidRDefault="00000000">
      <w:pPr>
        <w:pStyle w:val="Heading2"/>
      </w:pPr>
      <w:bookmarkStart w:id="52" w:name="variables"/>
      <w:bookmarkEnd w:id="36"/>
      <w:bookmarkEnd w:id="47"/>
      <w:r>
        <w:t>Variables</w:t>
      </w:r>
    </w:p>
    <w:p w14:paraId="4FC463C3" w14:textId="77777777" w:rsidR="00D24F6D" w:rsidRDefault="00000000">
      <w:pPr>
        <w:pStyle w:val="Heading3"/>
      </w:pPr>
      <w:bookmarkStart w:id="53" w:name="manipulated-variables"/>
      <w:r>
        <w:t>Manipulated variables</w:t>
      </w:r>
    </w:p>
    <w:p w14:paraId="3C341F8F" w14:textId="77777777" w:rsidR="00D24F6D" w:rsidRDefault="00000000">
      <w:pPr>
        <w:pStyle w:val="FirstParagraph"/>
      </w:pPr>
      <w:r>
        <w:t>None for the purposes of this paper (observational only). Randomized intervention delivery (JITAI indicators) will be accounted for in sensitivity analyses.</w:t>
      </w:r>
    </w:p>
    <w:p w14:paraId="36AB841F" w14:textId="77777777" w:rsidR="00D24F6D" w:rsidRDefault="00000000">
      <w:pPr>
        <w:pStyle w:val="Heading3"/>
      </w:pPr>
      <w:bookmarkStart w:id="54" w:name="measured-variables"/>
      <w:bookmarkEnd w:id="53"/>
      <w:r>
        <w:t>Measured variables</w:t>
      </w:r>
    </w:p>
    <w:p w14:paraId="6CF86490" w14:textId="77777777" w:rsidR="00D24F6D" w:rsidRDefault="00000000">
      <w:pPr>
        <w:pStyle w:val="FirstParagraph"/>
      </w:pPr>
      <w:r>
        <w:rPr>
          <w:b/>
          <w:bCs/>
        </w:rPr>
        <w:t>Daily social control (primary predictors; self-report, 0–5 Likert scale):</w:t>
      </w:r>
    </w:p>
    <w:p w14:paraId="1036D736" w14:textId="77777777" w:rsidR="00D24F6D" w:rsidRDefault="00000000">
      <w:pPr>
        <w:pStyle w:val="BodyText"/>
      </w:pPr>
      <w:r>
        <w:t>9 daily items assessing partner attempts to influence the actor’s physical activity. Scored into strategy composites via the preregistered measurement decision rules below (autonomy-promoting, potentially autonomy-ambivalent, and autonomy-limiting).</w:t>
      </w:r>
    </w:p>
    <w:p w14:paraId="22EADF80" w14:textId="77777777" w:rsidR="00D24F6D" w:rsidRDefault="00000000">
      <w:pPr>
        <w:pStyle w:val="BodyText"/>
      </w:pPr>
      <w:r>
        <w:t>Items (roughly translated from German):</w:t>
      </w:r>
    </w:p>
    <w:p w14:paraId="278D03C6" w14:textId="77777777" w:rsidR="00D24F6D" w:rsidRDefault="00000000">
      <w:pPr>
        <w:pStyle w:val="BodyText"/>
      </w:pPr>
      <w:r>
        <w:rPr>
          <w:i/>
          <w:iCs/>
        </w:rPr>
        <w:t>It is highly common that partners try to influence each other. What did you experience today?</w:t>
      </w:r>
    </w:p>
    <w:p w14:paraId="67D68756" w14:textId="77777777" w:rsidR="00D24F6D" w:rsidRDefault="00000000">
      <w:pPr>
        <w:pStyle w:val="BodyText"/>
      </w:pPr>
      <w:r>
        <w:rPr>
          <w:i/>
          <w:iCs/>
        </w:rPr>
        <w:t>To positively influence my physical activity today, [GenderPartner_my partner] …</w:t>
      </w:r>
    </w:p>
    <w:p w14:paraId="2C12E83A" w14:textId="77777777" w:rsidR="00D24F6D" w:rsidRDefault="00000000">
      <w:pPr>
        <w:numPr>
          <w:ilvl w:val="0"/>
          <w:numId w:val="8"/>
        </w:numPr>
      </w:pPr>
      <w:r>
        <w:t>… discussed physical activity with me.</w:t>
      </w:r>
    </w:p>
    <w:p w14:paraId="6C63C7D1" w14:textId="77777777" w:rsidR="00D24F6D" w:rsidRDefault="00000000">
      <w:pPr>
        <w:numPr>
          <w:ilvl w:val="0"/>
          <w:numId w:val="8"/>
        </w:numPr>
      </w:pPr>
      <w:r>
        <w:t>… emphasized how important it is to [GenderPartner_him/her/them] that I am physically active.</w:t>
      </w:r>
    </w:p>
    <w:p w14:paraId="4AF59975" w14:textId="77777777" w:rsidR="00D24F6D" w:rsidRDefault="00000000">
      <w:pPr>
        <w:numPr>
          <w:ilvl w:val="0"/>
          <w:numId w:val="8"/>
        </w:numPr>
      </w:pPr>
      <w:r>
        <w:t>… reminded me that I had wanted to be physically active.</w:t>
      </w:r>
    </w:p>
    <w:p w14:paraId="4B0CF326" w14:textId="77777777" w:rsidR="00D24F6D" w:rsidRDefault="00000000">
      <w:pPr>
        <w:numPr>
          <w:ilvl w:val="0"/>
          <w:numId w:val="8"/>
        </w:numPr>
      </w:pPr>
      <w:r>
        <w:t>… suggested that I be physically active.</w:t>
      </w:r>
    </w:p>
    <w:p w14:paraId="4AD8C3E2" w14:textId="77777777" w:rsidR="00D24F6D" w:rsidRDefault="00000000">
      <w:pPr>
        <w:numPr>
          <w:ilvl w:val="0"/>
          <w:numId w:val="8"/>
        </w:numPr>
      </w:pPr>
      <w:r>
        <w:lastRenderedPageBreak/>
        <w:t>… insisted that I be physically active as agreed.</w:t>
      </w:r>
    </w:p>
    <w:p w14:paraId="78DF8F16" w14:textId="77777777" w:rsidR="00D24F6D" w:rsidRDefault="00000000">
      <w:pPr>
        <w:numPr>
          <w:ilvl w:val="0"/>
          <w:numId w:val="8"/>
        </w:numPr>
      </w:pPr>
      <w:r>
        <w:t>… urged me to be physically active.</w:t>
      </w:r>
    </w:p>
    <w:p w14:paraId="338144F7" w14:textId="77777777" w:rsidR="00D24F6D" w:rsidRDefault="00000000">
      <w:pPr>
        <w:numPr>
          <w:ilvl w:val="0"/>
          <w:numId w:val="8"/>
        </w:numPr>
      </w:pPr>
      <w:r>
        <w:t>… nagged / complained.</w:t>
      </w:r>
    </w:p>
    <w:p w14:paraId="013F88E2" w14:textId="77777777" w:rsidR="00D24F6D" w:rsidRDefault="00000000">
      <w:pPr>
        <w:numPr>
          <w:ilvl w:val="0"/>
          <w:numId w:val="8"/>
        </w:numPr>
      </w:pPr>
      <w:r>
        <w:t>… tried to make me feel guilty.</w:t>
      </w:r>
    </w:p>
    <w:p w14:paraId="7D72EEB6" w14:textId="77777777" w:rsidR="00D24F6D" w:rsidRDefault="00000000">
      <w:pPr>
        <w:numPr>
          <w:ilvl w:val="0"/>
          <w:numId w:val="8"/>
        </w:numPr>
      </w:pPr>
      <w:r>
        <w:t>… threatened me with negative consequences.</w:t>
      </w:r>
    </w:p>
    <w:p w14:paraId="3D3CA731" w14:textId="77777777" w:rsidR="00D24F6D" w:rsidRDefault="00000000">
      <w:pPr>
        <w:pStyle w:val="FirstParagraph"/>
      </w:pPr>
      <w:r>
        <w:t>Scale: 0 = not at all today; 5 = very much today</w:t>
      </w:r>
    </w:p>
    <w:p w14:paraId="5AE6D78B" w14:textId="77777777" w:rsidR="00D24F6D" w:rsidRDefault="00000000">
      <w:pPr>
        <w:pStyle w:val="BodyText"/>
      </w:pPr>
      <w:r>
        <w:t>Item source: self-developed, based on Butterfield &amp; Lewis (2002)</w:t>
      </w:r>
    </w:p>
    <w:p w14:paraId="64E7DA0B" w14:textId="77777777" w:rsidR="00D24F6D" w:rsidRDefault="00000000">
      <w:pPr>
        <w:pStyle w:val="BodyText"/>
      </w:pPr>
      <w:r>
        <w:t>---</w:t>
      </w:r>
    </w:p>
    <w:p w14:paraId="2DA4BD13" w14:textId="77777777" w:rsidR="00D24F6D" w:rsidRDefault="00000000">
      <w:pPr>
        <w:pStyle w:val="BodyText"/>
      </w:pPr>
      <w:r>
        <w:rPr>
          <w:b/>
          <w:bCs/>
        </w:rPr>
        <w:t>Physical activity outcomes:</w:t>
      </w:r>
    </w:p>
    <w:p w14:paraId="23F65D04" w14:textId="77777777" w:rsidR="00D24F6D" w:rsidRDefault="00000000">
      <w:pPr>
        <w:pStyle w:val="BodyText"/>
      </w:pPr>
      <w:r>
        <w:t>Device-based MVPA is measured via the ActiGraph Insight Watch (ActiGraph, 2018). Daily MVPA is derived using the Staudenmayer (2015) wrist‑worn accelerometer algorithm and aggregated to daily minutes of MVPA.</w:t>
      </w:r>
    </w:p>
    <w:p w14:paraId="3D5B377F" w14:textId="77777777" w:rsidR="00D24F6D" w:rsidRDefault="00000000">
      <w:pPr>
        <w:pStyle w:val="BodyText"/>
      </w:pPr>
      <w:r>
        <w:t>Device-based wear time is assessed and used as a covariate in MVPA models.</w:t>
      </w:r>
    </w:p>
    <w:p w14:paraId="6F6CE331" w14:textId="77777777" w:rsidR="00D24F6D" w:rsidRDefault="00000000">
      <w:pPr>
        <w:pStyle w:val="BodyText"/>
      </w:pPr>
      <w:r>
        <w:t>Self-reported MVPA (daily) is assessed via 2 items (roughly translated from German):</w:t>
      </w:r>
      <w:r>
        <w:br/>
      </w:r>
      <w:r>
        <w:rPr>
          <w:i/>
          <w:iCs/>
        </w:rPr>
        <w:t>How many minutes did you spend today doing moderate to strenuous physical activity?</w:t>
      </w:r>
      <w:r>
        <w:br/>
        <w:t>Alone: _____ minutes</w:t>
      </w:r>
      <w:r>
        <w:br/>
        <w:t>Together with your partner: _____ minutes</w:t>
      </w:r>
    </w:p>
    <w:p w14:paraId="3F54C9C2" w14:textId="77777777" w:rsidR="00D24F6D" w:rsidRDefault="00000000">
      <w:pPr>
        <w:pStyle w:val="BodyText"/>
      </w:pPr>
      <w:r>
        <w:t>Item source: Amireault &amp; Godin (2015).</w:t>
      </w:r>
    </w:p>
    <w:p w14:paraId="32CCF42A" w14:textId="77777777" w:rsidR="00D24F6D" w:rsidRDefault="00000000">
      <w:pPr>
        <w:pStyle w:val="BodyText"/>
      </w:pPr>
      <w:r>
        <w:t>---</w:t>
      </w:r>
    </w:p>
    <w:p w14:paraId="7BBFBD2E" w14:textId="77777777" w:rsidR="00D24F6D" w:rsidRDefault="00000000">
      <w:pPr>
        <w:pStyle w:val="BodyText"/>
      </w:pPr>
      <w:r>
        <w:rPr>
          <w:b/>
          <w:bCs/>
        </w:rPr>
        <w:t>Relationship satisfaction (daily).</w:t>
      </w:r>
      <w:r>
        <w:br/>
        <w:t>Item (roughly translated from German):</w:t>
      </w:r>
      <w:r>
        <w:br/>
      </w:r>
      <w:r>
        <w:rPr>
          <w:i/>
          <w:iCs/>
        </w:rPr>
        <w:t>How did you experience the relationship with [GenderPartner_your partner] today?</w:t>
      </w:r>
      <w:r>
        <w:br/>
        <w:t>Scale: -5 = terrible today; 0 = okay today; 5 = wonderful today</w:t>
      </w:r>
    </w:p>
    <w:p w14:paraId="05C98A52" w14:textId="77777777" w:rsidR="00D24F6D" w:rsidRDefault="00000000">
      <w:pPr>
        <w:pStyle w:val="BodyText"/>
      </w:pPr>
      <w:r>
        <w:t>Item source: Self-developed, based on Berli et al. (2021)</w:t>
      </w:r>
    </w:p>
    <w:p w14:paraId="1FCC21F7" w14:textId="77777777" w:rsidR="00D24F6D" w:rsidRDefault="00000000">
      <w:pPr>
        <w:pStyle w:val="BodyText"/>
      </w:pPr>
      <w:r>
        <w:t>---</w:t>
      </w:r>
    </w:p>
    <w:p w14:paraId="753FC0B7" w14:textId="77777777" w:rsidR="00D24F6D" w:rsidRDefault="00000000">
      <w:pPr>
        <w:pStyle w:val="BodyText"/>
      </w:pPr>
      <w:r>
        <w:rPr>
          <w:b/>
          <w:bCs/>
        </w:rPr>
        <w:t>Mood (daily).</w:t>
      </w:r>
      <w:r>
        <w:br/>
        <w:t>Items (roughly translated from German):</w:t>
      </w:r>
      <w:r>
        <w:br/>
      </w:r>
      <w:r>
        <w:rPr>
          <w:i/>
          <w:iCs/>
        </w:rPr>
        <w:t>Today I feel …</w:t>
      </w:r>
      <w:r>
        <w:br/>
        <w:t>… satisfied</w:t>
      </w:r>
      <w:r>
        <w:br/>
        <w:t>… bad</w:t>
      </w:r>
      <w:r>
        <w:br/>
        <w:t>… good</w:t>
      </w:r>
      <w:r>
        <w:br/>
        <w:t>… uncomfortable</w:t>
      </w:r>
      <w:r>
        <w:br/>
        <w:t>Scale: 1 = not at all today; 5 = very much today</w:t>
      </w:r>
    </w:p>
    <w:p w14:paraId="29D13154" w14:textId="77777777" w:rsidR="00D24F6D" w:rsidRDefault="00000000">
      <w:pPr>
        <w:pStyle w:val="BodyText"/>
      </w:pPr>
      <w:r>
        <w:lastRenderedPageBreak/>
        <w:t>Negative items (bad, uncomfortable) are reverse-coded and combined with the positive items into a single daily mood score.</w:t>
      </w:r>
    </w:p>
    <w:p w14:paraId="595E3F4D" w14:textId="77777777" w:rsidR="00D24F6D" w:rsidRDefault="00000000">
      <w:pPr>
        <w:pStyle w:val="BodyText"/>
      </w:pPr>
      <w:r>
        <w:t>Item source: Steyer et al. (2004)</w:t>
      </w:r>
    </w:p>
    <w:p w14:paraId="0FAF5A5F" w14:textId="77777777" w:rsidR="00D24F6D" w:rsidRDefault="00000000">
      <w:pPr>
        <w:pStyle w:val="BodyText"/>
      </w:pPr>
      <w:r>
        <w:t>---</w:t>
      </w:r>
    </w:p>
    <w:p w14:paraId="552AA97B" w14:textId="77777777" w:rsidR="00D24F6D" w:rsidRDefault="00000000">
      <w:pPr>
        <w:pStyle w:val="BodyText"/>
      </w:pPr>
      <w:r>
        <w:rPr>
          <w:b/>
          <w:bCs/>
        </w:rPr>
        <w:t>Reactance (daily).</w:t>
      </w:r>
      <w:r>
        <w:br/>
        <w:t>Daily composite score computed as the mean of available reactance items for that day. Reactance is not assessed on days without any social control and remains missing on those days.</w:t>
      </w:r>
    </w:p>
    <w:p w14:paraId="60B4ABA6" w14:textId="77777777" w:rsidR="00D24F6D" w:rsidRDefault="00000000">
      <w:pPr>
        <w:pStyle w:val="BodyText"/>
      </w:pPr>
      <w:r>
        <w:t>Items (roughly translated from German):</w:t>
      </w:r>
    </w:p>
    <w:p w14:paraId="0E29E297" w14:textId="77777777" w:rsidR="00D24F6D" w:rsidRDefault="00000000">
      <w:pPr>
        <w:numPr>
          <w:ilvl w:val="0"/>
          <w:numId w:val="9"/>
        </w:numPr>
      </w:pPr>
      <w:r>
        <w:rPr>
          <w:i/>
          <w:iCs/>
        </w:rPr>
        <w:t>When [GenderPartner_my partner] tried to positively influence my physical activity today by discussing physical activity with me, I felt like not being active at all.</w:t>
      </w:r>
    </w:p>
    <w:p w14:paraId="77E661D1" w14:textId="77777777" w:rsidR="00D24F6D" w:rsidRDefault="00000000">
      <w:pPr>
        <w:numPr>
          <w:ilvl w:val="0"/>
          <w:numId w:val="9"/>
        </w:numPr>
      </w:pPr>
      <w:r>
        <w:rPr>
          <w:i/>
          <w:iCs/>
        </w:rPr>
        <w:t>When [GenderPartner_my partner] tried to positively influence my physical activity today by emphasizing how important it is to [GenderPartner_him/her/them] that I am physically active, I felt like not being active at all.</w:t>
      </w:r>
    </w:p>
    <w:p w14:paraId="5C437A26" w14:textId="77777777" w:rsidR="00D24F6D" w:rsidRDefault="00000000">
      <w:pPr>
        <w:numPr>
          <w:ilvl w:val="0"/>
          <w:numId w:val="9"/>
        </w:numPr>
      </w:pPr>
      <w:r>
        <w:rPr>
          <w:i/>
          <w:iCs/>
        </w:rPr>
        <w:t>When [GenderPartner_my partner] tried to positively influence my physical activity today by reminding me that I had wanted to be physically active, I felt like not being active at all.</w:t>
      </w:r>
    </w:p>
    <w:p w14:paraId="23B1DAF3" w14:textId="77777777" w:rsidR="00D24F6D" w:rsidRDefault="00000000">
      <w:pPr>
        <w:numPr>
          <w:ilvl w:val="0"/>
          <w:numId w:val="9"/>
        </w:numPr>
      </w:pPr>
      <w:r>
        <w:rPr>
          <w:i/>
          <w:iCs/>
        </w:rPr>
        <w:t>When [GenderPartner_my partner] tried to positively influence my physical activity today by suggesting that I be physically active, I felt like not being active at all.</w:t>
      </w:r>
    </w:p>
    <w:p w14:paraId="79295944" w14:textId="77777777" w:rsidR="00D24F6D" w:rsidRDefault="00000000">
      <w:pPr>
        <w:numPr>
          <w:ilvl w:val="0"/>
          <w:numId w:val="9"/>
        </w:numPr>
      </w:pPr>
      <w:r>
        <w:rPr>
          <w:i/>
          <w:iCs/>
        </w:rPr>
        <w:t>When [GenderPartner_my partner] tried to positively influence my physical activity today by insisting that I be physically active as agreed, I felt like not being active at all.</w:t>
      </w:r>
    </w:p>
    <w:p w14:paraId="4252805C" w14:textId="77777777" w:rsidR="00D24F6D" w:rsidRDefault="00000000">
      <w:pPr>
        <w:numPr>
          <w:ilvl w:val="0"/>
          <w:numId w:val="9"/>
        </w:numPr>
      </w:pPr>
      <w:r>
        <w:rPr>
          <w:i/>
          <w:iCs/>
        </w:rPr>
        <w:t>When [GenderPartner_my partner] tried to positively influence my physical activity today by urging me to be physically active, I felt like not being active at all.</w:t>
      </w:r>
    </w:p>
    <w:p w14:paraId="72133098" w14:textId="77777777" w:rsidR="00D24F6D" w:rsidRDefault="00000000">
      <w:pPr>
        <w:numPr>
          <w:ilvl w:val="0"/>
          <w:numId w:val="9"/>
        </w:numPr>
      </w:pPr>
      <w:r>
        <w:rPr>
          <w:i/>
          <w:iCs/>
        </w:rPr>
        <w:t>When [GenderPartner_my partner] tried to positively influence my physical activity today by nagging / complaining, I felt like not being active at all.</w:t>
      </w:r>
    </w:p>
    <w:p w14:paraId="653C3BFD" w14:textId="77777777" w:rsidR="00D24F6D" w:rsidRDefault="00000000">
      <w:pPr>
        <w:numPr>
          <w:ilvl w:val="0"/>
          <w:numId w:val="9"/>
        </w:numPr>
      </w:pPr>
      <w:r>
        <w:rPr>
          <w:i/>
          <w:iCs/>
        </w:rPr>
        <w:t>When [GenderPartner_my partner] tried to positively influence my physical activity today by trying to make me feel guilty, I felt like not being active at all.</w:t>
      </w:r>
    </w:p>
    <w:p w14:paraId="52D65404" w14:textId="77777777" w:rsidR="00D24F6D" w:rsidRDefault="00000000">
      <w:pPr>
        <w:numPr>
          <w:ilvl w:val="0"/>
          <w:numId w:val="9"/>
        </w:numPr>
      </w:pPr>
      <w:r>
        <w:rPr>
          <w:i/>
          <w:iCs/>
        </w:rPr>
        <w:t>When [GenderPartner_my partner] tried to positively influence my physical activity today by threatening me with negative consequences, I felt like not being active at all.</w:t>
      </w:r>
    </w:p>
    <w:p w14:paraId="03620801" w14:textId="77777777" w:rsidR="00D24F6D" w:rsidRDefault="00000000">
      <w:pPr>
        <w:pStyle w:val="Compact"/>
        <w:numPr>
          <w:ilvl w:val="0"/>
          <w:numId w:val="10"/>
        </w:numPr>
      </w:pPr>
      <w:r>
        <w:t>Scale (roughly translated from German):</w:t>
      </w:r>
      <w:r>
        <w:br/>
        <w:t>0 = does not apply at all today; 5 = applies exactly today</w:t>
      </w:r>
    </w:p>
    <w:p w14:paraId="62D9CD14" w14:textId="77777777" w:rsidR="00D24F6D" w:rsidRDefault="00000000">
      <w:pPr>
        <w:pStyle w:val="FirstParagraph"/>
      </w:pPr>
      <w:r>
        <w:t>Item source: Self-developed based on Scholz et al. (2021)</w:t>
      </w:r>
    </w:p>
    <w:p w14:paraId="589D5361" w14:textId="77777777" w:rsidR="00D24F6D" w:rsidRDefault="00000000">
      <w:pPr>
        <w:pStyle w:val="BodyText"/>
      </w:pPr>
      <w:r>
        <w:lastRenderedPageBreak/>
        <w:t>---</w:t>
      </w:r>
    </w:p>
    <w:p w14:paraId="26948549" w14:textId="77777777" w:rsidR="00D24F6D" w:rsidRDefault="00000000">
      <w:pPr>
        <w:pStyle w:val="BodyText"/>
      </w:pPr>
      <w:r>
        <w:rPr>
          <w:b/>
          <w:bCs/>
        </w:rPr>
        <w:t>Planned covariates in all models:</w:t>
      </w:r>
    </w:p>
    <w:p w14:paraId="2AC9FB37" w14:textId="77777777" w:rsidR="00D24F6D" w:rsidRDefault="00000000">
      <w:pPr>
        <w:numPr>
          <w:ilvl w:val="0"/>
          <w:numId w:val="11"/>
        </w:numPr>
      </w:pPr>
      <w:r>
        <w:t>Study day / time trend (day-in-study; scaled to 0–1 for model terms)</w:t>
      </w:r>
    </w:p>
    <w:p w14:paraId="21B74194" w14:textId="77777777" w:rsidR="00D24F6D" w:rsidRDefault="00000000">
      <w:pPr>
        <w:numPr>
          <w:ilvl w:val="0"/>
          <w:numId w:val="11"/>
        </w:numPr>
      </w:pPr>
      <w:r>
        <w:t>Weekend (vs. weekday) indicator (0, 1)</w:t>
      </w:r>
    </w:p>
    <w:p w14:paraId="0E5B8104" w14:textId="77777777" w:rsidR="00D24F6D" w:rsidRDefault="00000000">
      <w:pPr>
        <w:numPr>
          <w:ilvl w:val="0"/>
          <w:numId w:val="11"/>
        </w:numPr>
      </w:pPr>
      <w:r>
        <w:t xml:space="preserve">Day with a </w:t>
      </w:r>
      <w:commentRangeStart w:id="55"/>
      <w:commentRangeStart w:id="56"/>
      <w:commentRangeStart w:id="57"/>
      <w:commentRangeStart w:id="58"/>
      <w:r>
        <w:t xml:space="preserve">plan </w:t>
      </w:r>
      <w:commentRangeEnd w:id="55"/>
      <w:r>
        <w:rPr>
          <w:rStyle w:val="CommentReference"/>
          <w:sz w:val="24"/>
          <w:szCs w:val="24"/>
        </w:rPr>
        <w:commentReference w:id="55"/>
      </w:r>
      <w:commentRangeEnd w:id="56"/>
      <w:r>
        <w:rPr>
          <w:rStyle w:val="CommentReference"/>
          <w:sz w:val="24"/>
          <w:szCs w:val="24"/>
        </w:rPr>
        <w:commentReference w:id="56"/>
      </w:r>
      <w:commentRangeEnd w:id="57"/>
      <w:r>
        <w:rPr>
          <w:rStyle w:val="CommentReference"/>
          <w:sz w:val="24"/>
          <w:szCs w:val="24"/>
        </w:rPr>
        <w:commentReference w:id="57"/>
      </w:r>
      <w:commentRangeEnd w:id="58"/>
      <w:r>
        <w:rPr>
          <w:rStyle w:val="CommentReference"/>
          <w:sz w:val="24"/>
          <w:szCs w:val="24"/>
        </w:rPr>
        <w:commentReference w:id="58"/>
      </w:r>
      <w:r>
        <w:t>(vs. no plan; plan = 1 on planned days, 0 otherwise). Plans are obtained from the study app, which participants used to plan each week.</w:t>
      </w:r>
    </w:p>
    <w:p w14:paraId="5BB3E7D0" w14:textId="77777777" w:rsidR="00D24F6D" w:rsidRDefault="00000000">
      <w:pPr>
        <w:numPr>
          <w:ilvl w:val="0"/>
          <w:numId w:val="11"/>
        </w:numPr>
      </w:pPr>
      <w:r>
        <w:t>Only when modeling device-based MVPA: Accelerometer wear time (device based in minutes per day)</w:t>
      </w:r>
    </w:p>
    <w:p w14:paraId="1FD0EBE8" w14:textId="77777777" w:rsidR="00D24F6D" w:rsidRDefault="00000000">
      <w:pPr>
        <w:pStyle w:val="FirstParagraph"/>
      </w:pPr>
      <w:r>
        <w:rPr>
          <w:b/>
          <w:bCs/>
        </w:rPr>
        <w:t>Planned covariates in sensitivity analyses:</w:t>
      </w:r>
    </w:p>
    <w:p w14:paraId="2CF6F8DA" w14:textId="77777777" w:rsidR="00D24F6D" w:rsidRDefault="00000000">
      <w:pPr>
        <w:pStyle w:val="BodyText"/>
      </w:pPr>
      <w:r>
        <w:t>Because JITAIs are primarily delivered on days with a plan (or target days with a plan) and plan status is strongly related to MVPA (and to when social control is likely to occur), plan is included as a core covariate in all primary models. In sensitivity analyses, we additionally include JITAI delivery indicators and assess whether key associations change. Because JITAIs may influence social control (and thus potentially placing social control on the causal pathway), we treat adjustment for JITAI indicators as sensitivity analyses rather than as the primary specification. Additionally, an indicator of whether the baseline-week is in progress (0) or has been completed (1) will be included in this sensitivity analysis.</w:t>
      </w:r>
    </w:p>
    <w:p w14:paraId="19B5874F" w14:textId="77777777" w:rsidR="00D24F6D" w:rsidRDefault="00000000">
      <w:pPr>
        <w:pStyle w:val="BodyText"/>
      </w:pPr>
      <w:r>
        <w:t>---</w:t>
      </w:r>
    </w:p>
    <w:p w14:paraId="64149972" w14:textId="77777777" w:rsidR="00D24F6D" w:rsidRDefault="00000000">
      <w:pPr>
        <w:pStyle w:val="BodyText"/>
      </w:pPr>
      <w:r>
        <w:t>References:</w:t>
      </w:r>
    </w:p>
    <w:p w14:paraId="054F89A7" w14:textId="77777777" w:rsidR="00D24F6D" w:rsidRDefault="00000000">
      <w:pPr>
        <w:pStyle w:val="BodyText"/>
      </w:pPr>
      <w:r>
        <w:t xml:space="preserve">- ActiGraph. (2018). CentrePoint Insight Watch [Computer software]. </w:t>
      </w:r>
      <w:hyperlink r:id="rId17">
        <w:r>
          <w:rPr>
            <w:rStyle w:val="Hyperlink"/>
          </w:rPr>
          <w:t>https://theactigraph.com/cpiw</w:t>
        </w:r>
      </w:hyperlink>
    </w:p>
    <w:p w14:paraId="576079F9" w14:textId="77777777" w:rsidR="00D24F6D" w:rsidRDefault="00000000">
      <w:pPr>
        <w:pStyle w:val="BodyText"/>
      </w:pPr>
      <w:r>
        <w:t xml:space="preserve">- Amireault, S., &amp; Godin, G. (2015). The Godin-Shephard Leisure-Time Physical Activity Questionnaire: Validity Evidence Supporting its Use for Classifying Healthy Adults into Active and Insufficiently Active Categories. Perceptual and Motor Skills, 120(2), 604–622. </w:t>
      </w:r>
      <w:hyperlink r:id="rId18">
        <w:r>
          <w:rPr>
            <w:rStyle w:val="Hyperlink"/>
          </w:rPr>
          <w:t>https://doi.org/10.2466/03.27.PMS.120v19x7</w:t>
        </w:r>
      </w:hyperlink>
    </w:p>
    <w:p w14:paraId="2B34290A" w14:textId="77777777" w:rsidR="00D24F6D" w:rsidRDefault="00000000">
      <w:pPr>
        <w:pStyle w:val="BodyText"/>
      </w:pPr>
      <w:r>
        <w:t xml:space="preserve">- Berli, C., Schwaninger, P., &amp; Scholz, U. (2021). “We Feel Good”: Daily support provision, health behavior, and well-being in romantic couples. Frontiers in Psychology, 11, Article 622492. </w:t>
      </w:r>
      <w:hyperlink r:id="rId19">
        <w:r>
          <w:rPr>
            <w:rStyle w:val="Hyperlink"/>
          </w:rPr>
          <w:t>https://doi.org/10.3389/fpsyg.2020.622492</w:t>
        </w:r>
      </w:hyperlink>
    </w:p>
    <w:p w14:paraId="0B172779" w14:textId="77777777" w:rsidR="00D24F6D" w:rsidRDefault="00000000">
      <w:pPr>
        <w:pStyle w:val="BodyText"/>
      </w:pPr>
      <w:r>
        <w:t xml:space="preserve">- Steyer, R., Schwenkmezger, P., Notz, P., &amp; Eid, M. (2004). Development of the Multidimensional Mood State Questionnaire (MDBF). Primary data. [Translated Title] (Version 1.0.0) [Data and Documentation]. Trier: Center for Research Data in Psychology: PsychData of the Leibniz Institute for Psychology ZPID. </w:t>
      </w:r>
      <w:hyperlink r:id="rId20">
        <w:r>
          <w:rPr>
            <w:rStyle w:val="Hyperlink"/>
          </w:rPr>
          <w:t>https://doi.org/10.5160/psychdata.srrf91en15</w:t>
        </w:r>
      </w:hyperlink>
    </w:p>
    <w:p w14:paraId="12520156" w14:textId="77777777" w:rsidR="00D24F6D" w:rsidRDefault="00000000">
      <w:pPr>
        <w:pStyle w:val="BodyText"/>
      </w:pPr>
      <w:r>
        <w:lastRenderedPageBreak/>
        <w:t>- Scholz, U., Stadler, G., Berli, C., Lüscher, J., &amp; Knoll, N. (2021). How Do People Experience and Respond to Social Control From Their Partner? Three Daily Diary Studies. Frontiers in Psychology, 11, Article 613546. https://doi.org/10.3389/fpsyg.2020.613546</w:t>
      </w:r>
    </w:p>
    <w:p w14:paraId="6F09F271" w14:textId="77777777" w:rsidR="00D24F6D" w:rsidRDefault="00000000">
      <w:pPr>
        <w:pStyle w:val="Heading3"/>
      </w:pPr>
      <w:bookmarkStart w:id="59" w:name="indices"/>
      <w:bookmarkEnd w:id="54"/>
      <w:r>
        <w:t>Indices</w:t>
      </w:r>
    </w:p>
    <w:p w14:paraId="6BA6CDB6" w14:textId="77777777" w:rsidR="00D24F6D" w:rsidRDefault="00000000">
      <w:pPr>
        <w:numPr>
          <w:ilvl w:val="0"/>
          <w:numId w:val="12"/>
        </w:numPr>
      </w:pPr>
      <w:r>
        <w:t>Daily social control composites are computed as means of the assigned items, constructed according to the preregistered measurement decision rules. Depending on the measurement results, we will use either 3 composites (persuasion, autonomy-ambivalent control, pressure) or 2 composites (persuasion, pressure), with middle items assigned or excluded as specified below under statistical models (“Measurement models”).</w:t>
      </w:r>
    </w:p>
    <w:p w14:paraId="792EB846" w14:textId="77777777" w:rsidR="00D24F6D" w:rsidRDefault="00000000">
      <w:pPr>
        <w:numPr>
          <w:ilvl w:val="0"/>
          <w:numId w:val="12"/>
        </w:numPr>
      </w:pPr>
      <w:r>
        <w:t>Daily self-reported MVPA is computed as the sum of MVPA minutes alone and with the partner.</w:t>
      </w:r>
    </w:p>
    <w:p w14:paraId="10604AB2" w14:textId="77777777" w:rsidR="00D24F6D" w:rsidRDefault="00000000">
      <w:pPr>
        <w:numPr>
          <w:ilvl w:val="0"/>
          <w:numId w:val="12"/>
        </w:numPr>
      </w:pPr>
      <w:r>
        <w:t>Daily device-based MVPA is computed as the daily aggregate of minutes classified as MVPA by the algorithm from Staudenmayer et al. (2015).</w:t>
      </w:r>
    </w:p>
    <w:p w14:paraId="591E4C7B" w14:textId="77777777" w:rsidR="00D24F6D" w:rsidRDefault="00000000">
      <w:pPr>
        <w:numPr>
          <w:ilvl w:val="0"/>
          <w:numId w:val="12"/>
        </w:numPr>
      </w:pPr>
      <w:r>
        <w:t>Daily mood is computed as the mean of the four mood items after reverse-coding negative items (bad, uncomfortable).</w:t>
      </w:r>
    </w:p>
    <w:p w14:paraId="7A68DEE6" w14:textId="77777777" w:rsidR="00D24F6D" w:rsidRDefault="00000000">
      <w:pPr>
        <w:numPr>
          <w:ilvl w:val="0"/>
          <w:numId w:val="12"/>
        </w:numPr>
      </w:pPr>
      <w:r>
        <w:t>Daily reactance is computed as the mean of the available reactance items for that day and kept as missing for days without any social control. Reactance on remaining days is modeled with a two-part strategy: (1) Bernoulli for any reactance (&gt; 0 vs 0), and (2) a positive-part beta model for intensity on days with reactance &gt; 0, after rescaling to (0,1).</w:t>
      </w:r>
    </w:p>
    <w:p w14:paraId="243C240E" w14:textId="77777777" w:rsidR="00D24F6D" w:rsidRDefault="00000000">
      <w:pPr>
        <w:pStyle w:val="FirstParagraph"/>
      </w:pPr>
      <w:r>
        <w:rPr>
          <w:i/>
          <w:iCs/>
        </w:rPr>
        <w:t>References:</w:t>
      </w:r>
    </w:p>
    <w:p w14:paraId="323FE25C" w14:textId="77777777" w:rsidR="00D24F6D" w:rsidRDefault="00000000">
      <w:pPr>
        <w:pStyle w:val="BodyText"/>
      </w:pPr>
      <w:r>
        <w:t xml:space="preserve">- Staudenmayer, J., He, S., Hickey, A., Sasaki, J., &amp; Freedson, P. (2015). Methods to estimate aspects of physical activity and sedentary behavior from high-frequency wrist accelerometer measurements. </w:t>
      </w:r>
      <w:r>
        <w:rPr>
          <w:i/>
          <w:iCs/>
        </w:rPr>
        <w:t>Journal of Applied Physiology, 119</w:t>
      </w:r>
      <w:r>
        <w:t>(4), 396–403.</w:t>
      </w:r>
    </w:p>
    <w:p w14:paraId="57DBC2E1" w14:textId="77777777" w:rsidR="00D24F6D" w:rsidRDefault="00000000">
      <w:pPr>
        <w:pStyle w:val="Heading2"/>
      </w:pPr>
      <w:bookmarkStart w:id="60" w:name="analysis-plan"/>
      <w:bookmarkEnd w:id="52"/>
      <w:bookmarkEnd w:id="59"/>
      <w:r>
        <w:t>Analysis Plan</w:t>
      </w:r>
    </w:p>
    <w:p w14:paraId="24D01B50" w14:textId="77777777" w:rsidR="00D24F6D" w:rsidRDefault="00000000">
      <w:pPr>
        <w:pStyle w:val="Heading3"/>
      </w:pPr>
      <w:bookmarkStart w:id="61" w:name="statistical-models"/>
      <w:r>
        <w:t>Statistical models</w:t>
      </w:r>
    </w:p>
    <w:p w14:paraId="5EB4A347" w14:textId="77777777" w:rsidR="00D24F6D" w:rsidRDefault="00000000">
      <w:pPr>
        <w:pStyle w:val="FirstParagraph"/>
      </w:pPr>
      <w:r>
        <w:rPr>
          <w:b/>
          <w:bCs/>
        </w:rPr>
        <w:t>Confirmatory Factor Analysis with main study data</w:t>
      </w:r>
    </w:p>
    <w:p w14:paraId="52E8C51E" w14:textId="77777777" w:rsidR="00D24F6D" w:rsidRDefault="00000000">
      <w:pPr>
        <w:pStyle w:val="BodyText"/>
      </w:pPr>
      <w:r>
        <w:t>We first evaluate the factor structure of the 9 items (CFA/ESEM in lavaan), then derive composite scores, and finally estimate primary outcome models in brms.</w:t>
      </w:r>
    </w:p>
    <w:p w14:paraId="46DEE012" w14:textId="77777777" w:rsidR="00D24F6D" w:rsidRDefault="00000000">
      <w:pPr>
        <w:pStyle w:val="BodyText"/>
      </w:pPr>
      <w:r>
        <w:rPr>
          <w:b/>
          <w:bCs/>
        </w:rPr>
        <w:t>Measurement models:</w:t>
      </w:r>
    </w:p>
    <w:p w14:paraId="6F46FA03" w14:textId="77777777" w:rsidR="00D24F6D" w:rsidRDefault="00000000">
      <w:pPr>
        <w:pStyle w:val="BodyText"/>
      </w:pPr>
      <w:r>
        <w:t xml:space="preserve">We follow a measurement decision tree for the 9 social control items, specified below. Items are treated as approximately continuous in 2-level CFA/ESEM. Any ordinal analyses </w:t>
      </w:r>
      <w:r>
        <w:lastRenderedPageBreak/>
        <w:t>are descriptive only. All measurement decisions are made using item data only (no outcomes and before looking at the outcomes).</w:t>
      </w:r>
    </w:p>
    <w:p w14:paraId="10F23F60" w14:textId="77777777" w:rsidR="00D24F6D" w:rsidRDefault="00000000">
      <w:pPr>
        <w:pStyle w:val="BodyText"/>
      </w:pPr>
      <w:r>
        <w:t>If a 3-factor structure is supported, this will be used for further analysis. Otherwise, a 2-factor solution is used. In this case, CFA for this measurement model will be conducted and discussed (potentially in an appendix).</w:t>
      </w:r>
    </w:p>
    <w:p w14:paraId="38760A23" w14:textId="77777777" w:rsidR="00D24F6D" w:rsidRDefault="00000000">
      <w:pPr>
        <w:pStyle w:val="BodyText"/>
      </w:pPr>
      <w:r>
        <w:t>The options are as follows:</w:t>
      </w:r>
    </w:p>
    <w:p w14:paraId="236FA666" w14:textId="77777777" w:rsidR="00D24F6D" w:rsidRDefault="00000000">
      <w:pPr>
        <w:numPr>
          <w:ilvl w:val="0"/>
          <w:numId w:val="13"/>
        </w:numPr>
      </w:pPr>
      <w:r>
        <w:t>Three factors: persuasion (items 1–3), autonomy-ambivalent control (items 4–6), pressure (items 7–9), or</w:t>
      </w:r>
    </w:p>
    <w:p w14:paraId="0D4F6E0D" w14:textId="77777777" w:rsidR="00D24F6D" w:rsidRDefault="00000000">
      <w:pPr>
        <w:numPr>
          <w:ilvl w:val="0"/>
          <w:numId w:val="13"/>
        </w:numPr>
      </w:pPr>
      <w:r>
        <w:t>Two factors: persuasion vs pressure, treating items 4–6 as borderline indicators that may align with either factor or be excluded, following the pre-specified decision rules below.</w:t>
      </w:r>
    </w:p>
    <w:p w14:paraId="3B3D97C7" w14:textId="77777777" w:rsidR="00D24F6D" w:rsidRDefault="00000000">
      <w:pPr>
        <w:pStyle w:val="FirstParagraph"/>
      </w:pPr>
      <w:r>
        <w:rPr>
          <w:b/>
          <w:bCs/>
        </w:rPr>
        <w:t>Detailed measurement decision rules:</w:t>
      </w:r>
    </w:p>
    <w:p w14:paraId="44F489D4" w14:textId="77777777" w:rsidR="00D24F6D" w:rsidRDefault="00000000">
      <w:pPr>
        <w:pStyle w:val="BodyText"/>
      </w:pPr>
      <w:r>
        <w:t>Item diagnostics (descriptive):</w:t>
      </w:r>
    </w:p>
    <w:p w14:paraId="7458705D" w14:textId="77777777" w:rsidR="00D24F6D" w:rsidRDefault="00000000">
      <w:pPr>
        <w:pStyle w:val="BodyText"/>
      </w:pPr>
      <w:r>
        <w:t>We will report item distributions, base rates (% zeros), ICCs, and within-person / between-person item correlation matrices before evaluating factor structure (e.g., in an appendix).</w:t>
      </w:r>
    </w:p>
    <w:p w14:paraId="7FDBA4A1" w14:textId="77777777" w:rsidR="00D24F6D" w:rsidRDefault="00000000">
      <w:pPr>
        <w:pStyle w:val="BodyText"/>
      </w:pPr>
      <w:r>
        <w:rPr>
          <w:b/>
          <w:bCs/>
        </w:rPr>
        <w:t>Step 1 - Test of a 3-factor structure:</w:t>
      </w:r>
    </w:p>
    <w:p w14:paraId="2847B6A4" w14:textId="77777777" w:rsidR="00D24F6D" w:rsidRDefault="00000000">
      <w:pPr>
        <w:pStyle w:val="BodyText"/>
      </w:pPr>
      <w:r>
        <w:t>We will fit a 2-level CFA with the prespecified three-factor mapping:</w:t>
      </w:r>
    </w:p>
    <w:p w14:paraId="623678AF" w14:textId="77777777" w:rsidR="00D24F6D" w:rsidRDefault="00000000">
      <w:pPr>
        <w:numPr>
          <w:ilvl w:val="0"/>
          <w:numId w:val="14"/>
        </w:numPr>
      </w:pPr>
      <w:r>
        <w:t>Within-person level: items 1–3 → persuasion; items 4–6 → autonomy-ambivalent control; items 7–9 → pressure</w:t>
      </w:r>
    </w:p>
    <w:p w14:paraId="5EC0B9DF" w14:textId="77777777" w:rsidR="00D24F6D" w:rsidRDefault="00000000">
      <w:pPr>
        <w:numPr>
          <w:ilvl w:val="0"/>
          <w:numId w:val="14"/>
        </w:numPr>
      </w:pPr>
      <w:r>
        <w:t>Between-person level: same mapping.</w:t>
      </w:r>
    </w:p>
    <w:p w14:paraId="22A79A39" w14:textId="77777777" w:rsidR="00D24F6D" w:rsidRDefault="00000000">
      <w:pPr>
        <w:pStyle w:val="FirstParagraph"/>
      </w:pPr>
      <w:r>
        <w:t>factor correlations are freely estimated</w:t>
      </w:r>
    </w:p>
    <w:p w14:paraId="12D43A00" w14:textId="77777777" w:rsidR="00D24F6D" w:rsidRDefault="00000000">
      <w:pPr>
        <w:pStyle w:val="BodyText"/>
      </w:pPr>
      <w:r>
        <w:t>Adequacy check (between-person level prioritized): The 3-factor solution is considered supported if:</w:t>
      </w:r>
    </w:p>
    <w:p w14:paraId="72C1DBCD" w14:textId="77777777" w:rsidR="00D24F6D" w:rsidRDefault="00000000">
      <w:pPr>
        <w:numPr>
          <w:ilvl w:val="0"/>
          <w:numId w:val="15"/>
        </w:numPr>
      </w:pPr>
      <w:r>
        <w:t>the model converges without improper solutions, and</w:t>
      </w:r>
    </w:p>
    <w:p w14:paraId="121A4475" w14:textId="77777777" w:rsidR="00D24F6D" w:rsidRDefault="00000000">
      <w:pPr>
        <w:numPr>
          <w:ilvl w:val="0"/>
          <w:numId w:val="15"/>
        </w:numPr>
      </w:pPr>
      <w:r>
        <w:t>on the between-person level, each factor has ≥ 2 items with standardized loadings ≥ .40 (Howard, 2016), and</w:t>
      </w:r>
    </w:p>
    <w:p w14:paraId="14C0EF15" w14:textId="77777777" w:rsidR="00D24F6D" w:rsidRDefault="00000000">
      <w:pPr>
        <w:numPr>
          <w:ilvl w:val="0"/>
          <w:numId w:val="15"/>
        </w:numPr>
      </w:pPr>
      <w:r>
        <w:t>factor correlations at the between-person level are not extreme (|r| &lt; .85) (Panzeri et al., 2024).</w:t>
      </w:r>
    </w:p>
    <w:p w14:paraId="48A0C368" w14:textId="77777777" w:rsidR="00D24F6D" w:rsidRDefault="00000000">
      <w:pPr>
        <w:numPr>
          <w:ilvl w:val="0"/>
          <w:numId w:val="15"/>
        </w:numPr>
      </w:pPr>
      <w:r>
        <w:t>between-person absolute fit is not poor, defined as RMSEA ≤ .10 and SRMR (between-person) ≤ .10, reported alongside other indices) (Schermelleh-Engel et al., 2003).</w:t>
      </w:r>
    </w:p>
    <w:p w14:paraId="5A755142" w14:textId="77777777" w:rsidR="00D24F6D" w:rsidRDefault="00000000">
      <w:pPr>
        <w:pStyle w:val="FirstParagraph"/>
      </w:pPr>
      <w:r>
        <w:lastRenderedPageBreak/>
        <w:t>Within-person support of the factor structure will be evaluated and reported. However, a lack of within-person support alone does not invalidate the 3-factor scale, because we expect individuals to select certain strategies within a type of social control, but not necessarily employ multiple strategies on the same day. For instance, an individual may choose to exert pressure but may only employ a single strategy on that day (potentially even alongside a persuasion strategy). Consequently, daily strategy selection may reflect individual selection of strategies from a between-person level “pool/toolkit” of strategies. Therefore, on the within-person level, items may not be reflective of a latent construct but rather represent an additive construct, while on the between-person level they are reflective. For this reason, a fitting factor structure on the between-person level will be considered adequate for confirmation of the factor structure.</w:t>
      </w:r>
    </w:p>
    <w:p w14:paraId="61BB4111" w14:textId="77777777" w:rsidR="00D24F6D" w:rsidRDefault="00000000">
      <w:pPr>
        <w:pStyle w:val="BodyText"/>
      </w:pPr>
      <w:r>
        <w:rPr>
          <w:b/>
          <w:bCs/>
        </w:rPr>
        <w:t>Step 2 - If the 3-factor CFA fails: Testing whether middle items align with persuasion or pressure:</w:t>
      </w:r>
    </w:p>
    <w:p w14:paraId="67BC1F30" w14:textId="77777777" w:rsidR="00D24F6D" w:rsidRDefault="00000000">
      <w:pPr>
        <w:pStyle w:val="BodyText"/>
      </w:pPr>
      <w:r>
        <w:t>If Step 1 fails, we test whether items 4–6 can be assigned to persuasion or pressure using a between-person ESEM. For this, we compute each person’s mean score for each item across diary days (between-person aggregation) and fit a 2-factor ESEM in lavaan:</w:t>
      </w:r>
    </w:p>
    <w:p w14:paraId="37055180" w14:textId="77777777" w:rsidR="00D24F6D" w:rsidRDefault="00000000">
      <w:pPr>
        <w:numPr>
          <w:ilvl w:val="0"/>
          <w:numId w:val="16"/>
        </w:numPr>
      </w:pPr>
      <w:r>
        <w:t>Items 1–3 load on persuasion, items 7–9 load on pressure</w:t>
      </w:r>
    </w:p>
    <w:p w14:paraId="621465E7" w14:textId="77777777" w:rsidR="00D24F6D" w:rsidRDefault="00000000">
      <w:pPr>
        <w:numPr>
          <w:ilvl w:val="0"/>
          <w:numId w:val="16"/>
        </w:numPr>
      </w:pPr>
      <w:r>
        <w:t>items 4–6 load freely on both factors</w:t>
      </w:r>
    </w:p>
    <w:p w14:paraId="439636EB" w14:textId="77777777" w:rsidR="00D24F6D" w:rsidRDefault="00000000">
      <w:pPr>
        <w:pStyle w:val="FirstParagraph"/>
      </w:pPr>
      <w:r>
        <w:t>We will assign the middle items (items 4–6) to persuasion or pressure only if (Howard, 2016):</w:t>
      </w:r>
    </w:p>
    <w:p w14:paraId="74C5B3B4" w14:textId="77777777" w:rsidR="00D24F6D" w:rsidRDefault="00000000">
      <w:pPr>
        <w:numPr>
          <w:ilvl w:val="0"/>
          <w:numId w:val="17"/>
        </w:numPr>
      </w:pPr>
      <w:r>
        <w:t>its largest absolute standardized loading is ≥ .40, and</w:t>
      </w:r>
    </w:p>
    <w:p w14:paraId="5F8BF487" w14:textId="77777777" w:rsidR="00D24F6D" w:rsidRDefault="00000000">
      <w:pPr>
        <w:numPr>
          <w:ilvl w:val="0"/>
          <w:numId w:val="17"/>
        </w:numPr>
      </w:pPr>
      <w:r>
        <w:t>Its other absolute standardized loading is ≤ .30</w:t>
      </w:r>
    </w:p>
    <w:p w14:paraId="1730CDDD" w14:textId="77777777" w:rsidR="00D24F6D" w:rsidRDefault="00000000">
      <w:pPr>
        <w:numPr>
          <w:ilvl w:val="0"/>
          <w:numId w:val="17"/>
        </w:numPr>
      </w:pPr>
      <w:r>
        <w:t>The difference between the loadings is ≥ .20</w:t>
      </w:r>
    </w:p>
    <w:p w14:paraId="46566390" w14:textId="77777777" w:rsidR="00D24F6D" w:rsidRDefault="00000000">
      <w:pPr>
        <w:pStyle w:val="FirstParagraph"/>
      </w:pPr>
      <w:r>
        <w:t>Step 2 is considered successful if:</w:t>
      </w:r>
    </w:p>
    <w:p w14:paraId="7B3661B4" w14:textId="77777777" w:rsidR="00D24F6D" w:rsidRDefault="00000000">
      <w:pPr>
        <w:numPr>
          <w:ilvl w:val="0"/>
          <w:numId w:val="18"/>
        </w:numPr>
      </w:pPr>
      <w:r>
        <w:t>at least one middle item meets the assignment rule and</w:t>
      </w:r>
    </w:p>
    <w:p w14:paraId="704F20C9" w14:textId="77777777" w:rsidR="00D24F6D" w:rsidRDefault="00000000">
      <w:pPr>
        <w:numPr>
          <w:ilvl w:val="0"/>
          <w:numId w:val="18"/>
        </w:numPr>
      </w:pPr>
      <w:r>
        <w:t>the prototypical anchors show acceptable simple structure (between-person):</w:t>
      </w:r>
    </w:p>
    <w:p w14:paraId="26A9BC87" w14:textId="77777777" w:rsidR="00D24F6D" w:rsidRDefault="00000000">
      <w:pPr>
        <w:numPr>
          <w:ilvl w:val="1"/>
          <w:numId w:val="19"/>
        </w:numPr>
      </w:pPr>
      <w:r>
        <w:t>at least 2 of 3 items in (1–3) load ≥ .40 on persuasion, and</w:t>
      </w:r>
    </w:p>
    <w:p w14:paraId="58B2441C" w14:textId="77777777" w:rsidR="00D24F6D" w:rsidRDefault="00000000">
      <w:pPr>
        <w:numPr>
          <w:ilvl w:val="1"/>
          <w:numId w:val="19"/>
        </w:numPr>
      </w:pPr>
      <w:r>
        <w:t>at least 2 of 3 items in (7–9) load ≥ .40 on pressure.</w:t>
      </w:r>
    </w:p>
    <w:p w14:paraId="49EBC16F" w14:textId="77777777" w:rsidR="00D24F6D" w:rsidRDefault="00000000">
      <w:pPr>
        <w:pStyle w:val="FirstParagraph"/>
      </w:pPr>
      <w:r>
        <w:t>Any item (from items 4–6) that cannot be assigned will be excluded from scoring onto one of the two factors.</w:t>
      </w:r>
    </w:p>
    <w:p w14:paraId="7468A24D" w14:textId="77777777" w:rsidR="00D24F6D" w:rsidRDefault="00000000">
      <w:pPr>
        <w:pStyle w:val="BodyText"/>
      </w:pPr>
      <w:r>
        <w:rPr>
          <w:b/>
          <w:bCs/>
        </w:rPr>
        <w:t>Step 3 - Scoring</w:t>
      </w:r>
    </w:p>
    <w:p w14:paraId="6D276226" w14:textId="77777777" w:rsidR="00D24F6D" w:rsidRDefault="00000000">
      <w:pPr>
        <w:pStyle w:val="BodyText"/>
      </w:pPr>
      <w:commentRangeStart w:id="62"/>
      <w:commentRangeStart w:id="63"/>
      <w:commentRangeStart w:id="64"/>
      <w:commentRangeStart w:id="65"/>
      <w:r>
        <w:t xml:space="preserve">Daily composites are computed as simple unweighted means of the assigned items. </w:t>
      </w:r>
      <w:commentRangeEnd w:id="62"/>
      <w:r>
        <w:rPr>
          <w:rStyle w:val="CommentReference"/>
          <w:sz w:val="24"/>
          <w:szCs w:val="24"/>
        </w:rPr>
        <w:commentReference w:id="62"/>
      </w:r>
      <w:commentRangeEnd w:id="63"/>
      <w:r>
        <w:rPr>
          <w:rStyle w:val="CommentReference"/>
          <w:sz w:val="24"/>
          <w:szCs w:val="24"/>
        </w:rPr>
        <w:commentReference w:id="63"/>
      </w:r>
      <w:commentRangeEnd w:id="64"/>
      <w:r>
        <w:rPr>
          <w:rStyle w:val="CommentReference"/>
          <w:sz w:val="24"/>
          <w:szCs w:val="24"/>
        </w:rPr>
        <w:commentReference w:id="64"/>
      </w:r>
      <w:commentRangeEnd w:id="65"/>
      <w:r>
        <w:rPr>
          <w:rStyle w:val="CommentReference"/>
          <w:sz w:val="24"/>
          <w:szCs w:val="24"/>
        </w:rPr>
        <w:commentReference w:id="65"/>
      </w:r>
    </w:p>
    <w:p w14:paraId="3C7E0065" w14:textId="77777777" w:rsidR="00D24F6D" w:rsidRDefault="00000000">
      <w:pPr>
        <w:pStyle w:val="BodyText"/>
      </w:pPr>
      <w:r>
        <w:lastRenderedPageBreak/>
        <w:t>The scoring depends on steps 1 and 2:</w:t>
      </w:r>
    </w:p>
    <w:p w14:paraId="48E1F3D7" w14:textId="77777777" w:rsidR="00D24F6D" w:rsidRDefault="00000000">
      <w:pPr>
        <w:numPr>
          <w:ilvl w:val="0"/>
          <w:numId w:val="20"/>
        </w:numPr>
      </w:pPr>
      <w:r>
        <w:t>If Step 1 supports 3 factors, we use 3 composites (mean of 1–3; mean of 4–6; mean of 7–9).</w:t>
      </w:r>
    </w:p>
    <w:p w14:paraId="1F544E15" w14:textId="77777777" w:rsidR="00D24F6D" w:rsidRDefault="00000000">
      <w:pPr>
        <w:numPr>
          <w:ilvl w:val="0"/>
          <w:numId w:val="20"/>
        </w:numPr>
      </w:pPr>
      <w:r>
        <w:t>If Step 1 fails but Step 2 is successful: use 2 composites:</w:t>
      </w:r>
    </w:p>
    <w:p w14:paraId="00444058" w14:textId="77777777" w:rsidR="00D24F6D" w:rsidRDefault="00000000">
      <w:pPr>
        <w:numPr>
          <w:ilvl w:val="1"/>
          <w:numId w:val="21"/>
        </w:numPr>
      </w:pPr>
      <w:r>
        <w:t>Persuasion = items 1–3 + any assigned middle items</w:t>
      </w:r>
    </w:p>
    <w:p w14:paraId="556512BC" w14:textId="77777777" w:rsidR="00D24F6D" w:rsidRDefault="00000000">
      <w:pPr>
        <w:numPr>
          <w:ilvl w:val="1"/>
          <w:numId w:val="21"/>
        </w:numPr>
      </w:pPr>
      <w:r>
        <w:t>Pressure = items 7–9 + any assigned middle items</w:t>
      </w:r>
    </w:p>
    <w:p w14:paraId="218C9AEE" w14:textId="77777777" w:rsidR="00D24F6D" w:rsidRDefault="00000000">
      <w:pPr>
        <w:numPr>
          <w:ilvl w:val="0"/>
          <w:numId w:val="20"/>
        </w:numPr>
      </w:pPr>
      <w:r>
        <w:t>If neither Step 1 nor Step 2 is satisfactory, we use the 2 prototypical composites:</w:t>
      </w:r>
    </w:p>
    <w:p w14:paraId="2A205C27" w14:textId="77777777" w:rsidR="00D24F6D" w:rsidRDefault="00000000">
      <w:pPr>
        <w:numPr>
          <w:ilvl w:val="1"/>
          <w:numId w:val="22"/>
        </w:numPr>
      </w:pPr>
      <w:r>
        <w:t>Persuasion = items 1–3</w:t>
      </w:r>
    </w:p>
    <w:p w14:paraId="367C06C8" w14:textId="77777777" w:rsidR="00D24F6D" w:rsidRDefault="00000000">
      <w:pPr>
        <w:numPr>
          <w:ilvl w:val="1"/>
          <w:numId w:val="22"/>
        </w:numPr>
      </w:pPr>
      <w:r>
        <w:t>Pressure = items 7–9</w:t>
      </w:r>
    </w:p>
    <w:p w14:paraId="4F1CEC7D" w14:textId="77777777" w:rsidR="00D24F6D" w:rsidRDefault="00000000">
      <w:pPr>
        <w:numPr>
          <w:ilvl w:val="1"/>
          <w:numId w:val="22"/>
        </w:numPr>
      </w:pPr>
      <w:r>
        <w:t>(items 4–6 are excluded from any further analysis)</w:t>
      </w:r>
    </w:p>
    <w:p w14:paraId="23A95C57" w14:textId="77777777" w:rsidR="00D24F6D" w:rsidRDefault="00000000">
      <w:pPr>
        <w:pStyle w:val="FirstParagraph"/>
      </w:pPr>
      <w:r>
        <w:rPr>
          <w:b/>
          <w:bCs/>
        </w:rPr>
        <w:t>Step 4 – Sensitivity analyses (conditional)</w:t>
      </w:r>
    </w:p>
    <w:p w14:paraId="334842C8" w14:textId="77777777" w:rsidR="00D24F6D" w:rsidRDefault="00000000">
      <w:pPr>
        <w:pStyle w:val="BodyText"/>
      </w:pPr>
      <w:r>
        <w:t xml:space="preserve">If the 3-factor structure is not supported and, under the 2-factor scoring rules, any middle items (items 4–6) cannot be clearly assigned to persuasion or pressure, we will compute an </w:t>
      </w:r>
      <w:r>
        <w:rPr>
          <w:i/>
          <w:iCs/>
        </w:rPr>
        <w:t>unassigned-middle</w:t>
      </w:r>
      <w:r>
        <w:t xml:space="preserve"> score as the mean of the remaining unassigned items (or the single item if only one remains). We will include the actor and partner </w:t>
      </w:r>
      <w:r>
        <w:rPr>
          <w:i/>
          <w:iCs/>
        </w:rPr>
        <w:t>unassigned-middle</w:t>
      </w:r>
      <w:r>
        <w:t xml:space="preserve"> scores as additional covariates (decomposed into within-person and between-person components in the same way as other predictors) in sensitivity analyses to examine whether excluding these items changes the focal estimates.</w:t>
      </w:r>
    </w:p>
    <w:p w14:paraId="7636CFF0" w14:textId="77777777" w:rsidR="00D24F6D" w:rsidRDefault="00000000">
      <w:pPr>
        <w:pStyle w:val="BodyText"/>
      </w:pPr>
      <w:commentRangeStart w:id="66"/>
      <w:commentRangeStart w:id="67"/>
      <w:r>
        <w:rPr>
          <w:b/>
          <w:bCs/>
        </w:rPr>
        <w:t>Step 5 - Exploratory intensity-continuum analysis (reported in Supplementary Materials/Appendix if needed)</w:t>
      </w:r>
    </w:p>
    <w:p w14:paraId="2FD42FDC" w14:textId="77777777" w:rsidR="00D24F6D" w:rsidRDefault="00000000">
      <w:pPr>
        <w:pStyle w:val="BodyText"/>
      </w:pPr>
      <w:r>
        <w:t>In addition to the preregistered 2- and 3-factor models (used to define interpretable strategy clusters for scoring), we will run exploratory analyses to examine whether the nine items are better represented as positions on a single ordered continuum of autonomy limitation (from autonomy-promoting to autonomy-limiting control).</w:t>
      </w:r>
    </w:p>
    <w:p w14:paraId="7A3CE68E" w14:textId="77777777" w:rsidR="00D24F6D" w:rsidRDefault="00000000">
      <w:pPr>
        <w:pStyle w:val="BodyText"/>
      </w:pPr>
      <w:r>
        <w:t>We will evaluate this using item-level descriptives and inter-item patterns and, if feasible, an ordinal IRT-type item-mapping approach (or similar) to estimate item thresholds/locations on the latent continuum. Evidence will be treated as supportive if items show an approximately monotonic ordering on the estimated continuum.</w:t>
      </w:r>
    </w:p>
    <w:p w14:paraId="0D65DB69" w14:textId="77777777" w:rsidR="00D24F6D" w:rsidRDefault="00000000">
      <w:pPr>
        <w:pStyle w:val="BodyText"/>
      </w:pPr>
      <w:r>
        <w:t>If such a pattern is observed, we will report exploratory outcome models using two summaries:</w:t>
      </w:r>
    </w:p>
    <w:p w14:paraId="179F0E82" w14:textId="77777777" w:rsidR="00D24F6D" w:rsidRDefault="00000000">
      <w:pPr>
        <w:numPr>
          <w:ilvl w:val="0"/>
          <w:numId w:val="23"/>
        </w:numPr>
      </w:pPr>
      <w:r>
        <w:t>Overall control intensity: mean across all 9 items</w:t>
      </w:r>
    </w:p>
    <w:p w14:paraId="4BFC5004" w14:textId="77777777" w:rsidR="00D24F6D" w:rsidRDefault="00000000">
      <w:pPr>
        <w:numPr>
          <w:ilvl w:val="0"/>
          <w:numId w:val="23"/>
        </w:numPr>
      </w:pPr>
      <w:r>
        <w:t>Control orientation/polarity: mean pressure minus mean persuasion</w:t>
      </w:r>
    </w:p>
    <w:p w14:paraId="29968B89" w14:textId="77777777" w:rsidR="00D24F6D" w:rsidRDefault="00000000">
      <w:pPr>
        <w:pStyle w:val="FirstParagraph"/>
      </w:pPr>
      <w:r>
        <w:lastRenderedPageBreak/>
        <w:t xml:space="preserve">These analyses are exploratory and descriptive and will not affect preregistered scoring decisions or hypothesis tests. Evidence for an intensity continuum would not invalidate the preregistered main models, because those models intentionally use predefined item clusters as pragmatic strategy summaries for hypothesis testing. Evidence for a continuum would indicate that the clusters from Steps 1-3 may also be interpretable as regions on that continuum. </w:t>
      </w:r>
      <w:commentRangeEnd w:id="67"/>
      <w:r>
        <w:rPr>
          <w:rStyle w:val="CommentReference"/>
          <w:sz w:val="24"/>
          <w:szCs w:val="24"/>
        </w:rPr>
        <w:commentReference w:id="67"/>
      </w:r>
      <w:commentRangeEnd w:id="66"/>
      <w:r>
        <w:rPr>
          <w:rStyle w:val="CommentReference"/>
          <w:sz w:val="24"/>
          <w:szCs w:val="24"/>
        </w:rPr>
        <w:commentReference w:id="66"/>
      </w:r>
    </w:p>
    <w:p w14:paraId="624BDA5E" w14:textId="77777777" w:rsidR="00D24F6D" w:rsidRDefault="00000000">
      <w:pPr>
        <w:pStyle w:val="BodyText"/>
      </w:pPr>
      <w:r>
        <w:t>References:</w:t>
      </w:r>
    </w:p>
    <w:p w14:paraId="13053685" w14:textId="77777777" w:rsidR="00D24F6D" w:rsidRDefault="00000000">
      <w:pPr>
        <w:numPr>
          <w:ilvl w:val="0"/>
          <w:numId w:val="24"/>
        </w:numPr>
      </w:pPr>
      <w:r>
        <w:t xml:space="preserve">Howard, M. C. (2016). </w:t>
      </w:r>
      <w:r>
        <w:rPr>
          <w:i/>
          <w:iCs/>
        </w:rPr>
        <w:t>A review of exploratory factor analysis decisions and overview of current practices: What we are doing and how can we improve?</w:t>
      </w:r>
      <w:r>
        <w:t xml:space="preserve"> </w:t>
      </w:r>
      <w:r>
        <w:rPr>
          <w:i/>
          <w:iCs/>
        </w:rPr>
        <w:t>International Journal of Human–Computer Interaction, 32</w:t>
      </w:r>
      <w:r>
        <w:t>(1), 51–62. doi:10.1080/10447318.2015.1087664</w:t>
      </w:r>
    </w:p>
    <w:p w14:paraId="4A095525" w14:textId="77777777" w:rsidR="00D24F6D" w:rsidRDefault="00000000">
      <w:pPr>
        <w:numPr>
          <w:ilvl w:val="0"/>
          <w:numId w:val="24"/>
        </w:numPr>
      </w:pPr>
      <w:r>
        <w:t xml:space="preserve">Panzeri, A., Castelnuovo, G., &amp; Spoto, A. (2024). Assessing Discriminant Validity through Structural Equation Modeling: The Case of Eating Compulsivity. Nutrients, 16(4), 550. </w:t>
      </w:r>
      <w:hyperlink r:id="rId21">
        <w:r>
          <w:rPr>
            <w:rStyle w:val="Hyperlink"/>
          </w:rPr>
          <w:t>https://doi.org/10.3390/nu16040550</w:t>
        </w:r>
      </w:hyperlink>
    </w:p>
    <w:p w14:paraId="63145B8F" w14:textId="77777777" w:rsidR="00D24F6D" w:rsidRDefault="00000000">
      <w:pPr>
        <w:numPr>
          <w:ilvl w:val="0"/>
          <w:numId w:val="24"/>
        </w:numPr>
      </w:pPr>
      <w:r>
        <w:t>Schermelleh-Engel, K., Moosbrugger, H., &amp; Müller, H. (2003). Evaluating the fit of structural equation models: Tests of significance and descriptive goodness-of-fit measures. Methods of psychological research online, 8(2), 23-74.</w:t>
      </w:r>
    </w:p>
    <w:p w14:paraId="1F09651A" w14:textId="77777777" w:rsidR="00D24F6D" w:rsidRDefault="00000000">
      <w:pPr>
        <w:pStyle w:val="FirstParagraph"/>
      </w:pPr>
      <w:r>
        <w:t>--------------</w:t>
      </w:r>
    </w:p>
    <w:p w14:paraId="46785C5A" w14:textId="77777777" w:rsidR="00D24F6D" w:rsidRDefault="00000000">
      <w:pPr>
        <w:pStyle w:val="BodyText"/>
      </w:pPr>
      <w:r>
        <w:rPr>
          <w:b/>
          <w:bCs/>
        </w:rPr>
        <w:t>Data preparation for main hypothesis testing</w:t>
      </w:r>
    </w:p>
    <w:p w14:paraId="127BD498" w14:textId="77777777" w:rsidR="00D24F6D" w:rsidRDefault="00000000">
      <w:pPr>
        <w:pStyle w:val="BodyText"/>
      </w:pPr>
      <w:r>
        <w:t>The dataset will be transformed into a 4-field structure, with each row containing an actor’s own predictors (x_actor), and their partner’s predictors (x_partner). For each composite, we decompose the predictors as follows (also see “Transformations” below):</w:t>
      </w:r>
    </w:p>
    <w:p w14:paraId="33979446" w14:textId="77777777" w:rsidR="00D24F6D" w:rsidRDefault="00000000">
      <w:pPr>
        <w:numPr>
          <w:ilvl w:val="0"/>
          <w:numId w:val="25"/>
        </w:numPr>
      </w:pPr>
      <w:r>
        <w:t>Between-person variable (cbp): person mean across days (grand-mean centered)</w:t>
      </w:r>
    </w:p>
    <w:p w14:paraId="59201F17" w14:textId="77777777" w:rsidR="00D24F6D" w:rsidRDefault="00000000">
      <w:pPr>
        <w:numPr>
          <w:ilvl w:val="0"/>
          <w:numId w:val="25"/>
        </w:numPr>
      </w:pPr>
      <w:r>
        <w:t>Within-person variable (cwp): daily deviation from person mean (person-mean centered)</w:t>
      </w:r>
    </w:p>
    <w:p w14:paraId="40559125" w14:textId="77777777" w:rsidR="00D24F6D" w:rsidRDefault="00000000">
      <w:pPr>
        <w:numPr>
          <w:ilvl w:val="0"/>
          <w:numId w:val="26"/>
        </w:numPr>
      </w:pPr>
      <w:r>
        <w:t>Dyadic mean (cbc): (cbp_actor + cbp_partner) / 2</w:t>
      </w:r>
    </w:p>
    <w:p w14:paraId="2DADFF7A" w14:textId="77777777" w:rsidR="00D24F6D" w:rsidRDefault="00000000">
      <w:pPr>
        <w:numPr>
          <w:ilvl w:val="0"/>
          <w:numId w:val="26"/>
        </w:numPr>
      </w:pPr>
      <w:r>
        <w:t>Dyadic half-difference (difference from dyad mean; cwcbp): (cbp_actor − cbp_partner) / 2</w:t>
      </w:r>
    </w:p>
    <w:p w14:paraId="072EA64B" w14:textId="77777777" w:rsidR="00D24F6D" w:rsidRDefault="00000000">
      <w:pPr>
        <w:pStyle w:val="FirstParagraph"/>
      </w:pPr>
      <w:r>
        <w:t>--------------</w:t>
      </w:r>
    </w:p>
    <w:p w14:paraId="23AE3CDA" w14:textId="77777777" w:rsidR="00D24F6D" w:rsidRDefault="00000000">
      <w:pPr>
        <w:pStyle w:val="BodyText"/>
      </w:pPr>
      <w:r>
        <w:rPr>
          <w:b/>
          <w:bCs/>
        </w:rPr>
        <w:t>Modelling – Hypotheses testing</w:t>
      </w:r>
    </w:p>
    <w:p w14:paraId="6E61341C" w14:textId="77777777" w:rsidR="00D24F6D" w:rsidRDefault="00000000">
      <w:pPr>
        <w:pStyle w:val="BodyText"/>
      </w:pPr>
      <w:r>
        <w:t xml:space="preserve">Bayesian multilevel models for exchangeable dyads are specified in brms. All models include dyad-level random effects appropriate for exchangeable dyads and account for same-day partner correlation (see Küng, 2025). We treat dyads as exchangeable because we do not hypothesize systematic partner-role differences and want to accommodate </w:t>
      </w:r>
      <w:r>
        <w:lastRenderedPageBreak/>
        <w:t>same-sex couples. Partner labels are randomized within dyad (Idiff) to enforce exchangeability. Random slopes for the focal within-person predictor for which the interactions are analyzed are included in the model. If convergence is not an issue and there is substantial heterogeneity in the predictors, we may also include random slopes for the other predictors we account for in the current model.</w:t>
      </w:r>
    </w:p>
    <w:p w14:paraId="221909DD" w14:textId="77777777" w:rsidR="00D24F6D" w:rsidRDefault="00000000">
      <w:pPr>
        <w:pStyle w:val="BodyText"/>
      </w:pPr>
      <w:r>
        <w:t>For each composite, we fit a separate model in which the focal interactions with the target composite are included (within-person actor effect × dyadic mean and within-dyad difference score), while other strategies are entered as main-effect controls only. This is done to limit multicollinearity and model complexity.</w:t>
      </w:r>
    </w:p>
    <w:p w14:paraId="359C2825" w14:textId="77777777" w:rsidR="00D24F6D" w:rsidRDefault="00000000">
      <w:pPr>
        <w:pStyle w:val="BodyText"/>
      </w:pPr>
      <w:r>
        <w:t>The dyadic climate terms (dyadic mean and within-dyad difference) are direct linear transformations from the actor effect and the partner effect. Thus, their interactions can be back-transformed to obtain the interactions with the actor-mean and the partner-mean (Küng, 2025). The dyadic climate terms are included in the models instead of the actor-mean and the partner-mean because the latter terms may be heavily correlated, whereas the dyadic climate terms are orthogonal, increasing model stability.</w:t>
      </w:r>
    </w:p>
    <w:p w14:paraId="42BCEA82" w14:textId="77777777" w:rsidR="00D24F6D" w:rsidRDefault="00000000">
      <w:pPr>
        <w:pStyle w:val="BodyText"/>
      </w:pPr>
      <w:r>
        <w:t>Generalized linear models will be used, fitting the outcome distribution as well as possible. The following distributions will be applied initially:</w:t>
      </w:r>
    </w:p>
    <w:p w14:paraId="647D599C" w14:textId="77777777" w:rsidR="00D24F6D" w:rsidRDefault="00000000">
      <w:pPr>
        <w:pStyle w:val="BodyText"/>
      </w:pPr>
      <w:r>
        <w:t>- Device-based MVPA: lognormal (identity link). If device-based MVPA includes 0 values, we will instead use a hurdle lognormal model (logit hurdle + lognormal positive part).</w:t>
      </w:r>
    </w:p>
    <w:p w14:paraId="37E3B474" w14:textId="77777777" w:rsidR="00D24F6D" w:rsidRDefault="00000000">
      <w:pPr>
        <w:pStyle w:val="BodyText"/>
      </w:pPr>
      <w:r>
        <w:t>- Self-reported MVPA: hurdle lognormal (logit hurdle, identity lognormal part).</w:t>
      </w:r>
    </w:p>
    <w:p w14:paraId="358E8681" w14:textId="77777777" w:rsidR="00D24F6D" w:rsidRDefault="00000000">
      <w:pPr>
        <w:pStyle w:val="BodyText"/>
      </w:pPr>
      <w:r>
        <w:t>- Relationship satisfaction: cumulative ordinal (logit link).</w:t>
      </w:r>
    </w:p>
    <w:p w14:paraId="37CADDD4" w14:textId="77777777" w:rsidR="00D24F6D" w:rsidRDefault="00000000">
      <w:pPr>
        <w:pStyle w:val="BodyText"/>
      </w:pPr>
      <w:r>
        <w:t>- Mood: Skew-normal (identity link).</w:t>
      </w:r>
    </w:p>
    <w:p w14:paraId="7CACD51F" w14:textId="77777777" w:rsidR="00D24F6D" w:rsidRDefault="00000000">
      <w:pPr>
        <w:pStyle w:val="BodyText"/>
      </w:pPr>
      <w:r>
        <w:t>- Reactance: two-part model, conditional on occurrence of social control. Part 1 models any reactance (&gt; 0 vs 0) with Bernoulli (logit link). Part 2 models reactance intensity on positive days (reactance &gt; 0) with beta family (logit link) on a (0,1)-rescaled outcome (see transformations).</w:t>
      </w:r>
    </w:p>
    <w:p w14:paraId="0D78EE91" w14:textId="77777777" w:rsidR="00D24F6D" w:rsidRDefault="00000000">
      <w:pPr>
        <w:pStyle w:val="BodyText"/>
      </w:pPr>
      <w:r>
        <w:t>Priors are tailored to the model family. Intercept priors are weakly informative and centered on the outcome’s grand mean. All fixed-effect priors are weakly informative and centered around zero to regularize estimates conservatively toward no effect.</w:t>
      </w:r>
    </w:p>
    <w:p w14:paraId="7364DE28" w14:textId="77777777" w:rsidR="00D24F6D" w:rsidRDefault="00000000">
      <w:pPr>
        <w:pStyle w:val="BodyText"/>
      </w:pPr>
      <w:r>
        <w:t>If models do not converge well (e.g., Rhat &gt; 1.05 for any parameter or Rhat &gt; 1.01 for parameters of interest, bulk/tail ESS &lt; 100 per chain, E-BFMI &lt; 0.3, or poor chain mixing on visual inspection; Stan Development Team, 2024) or show inadequate fit (poor posterior predictive checks or residual diagnostics), alternative families may be employed guided by the outcome distributions.</w:t>
      </w:r>
    </w:p>
    <w:p w14:paraId="7FAB882F" w14:textId="77777777" w:rsidR="00D24F6D" w:rsidRDefault="00000000">
      <w:pPr>
        <w:pStyle w:val="BodyText"/>
      </w:pPr>
      <w:r>
        <w:t>Example model for investigating the interactions for persuasion on device-based MVPA:</w:t>
      </w:r>
    </w:p>
    <w:p w14:paraId="72946364" w14:textId="77777777" w:rsidR="00D24F6D" w:rsidRDefault="00000000">
      <w:pPr>
        <w:pStyle w:val="BodyText"/>
      </w:pPr>
      <w:r>
        <w:t>f_MVPA_dev_main &lt;- brms::bf(</w:t>
      </w:r>
    </w:p>
    <w:p w14:paraId="41B5D7F5" w14:textId="77777777" w:rsidR="00D24F6D" w:rsidRDefault="00000000">
      <w:pPr>
        <w:pStyle w:val="BodyText"/>
      </w:pPr>
      <w:r>
        <w:lastRenderedPageBreak/>
        <w:t>MVPA_device_based ~ 1</w:t>
      </w:r>
    </w:p>
    <w:p w14:paraId="782AA9BE" w14:textId="77777777" w:rsidR="00D24F6D" w:rsidRDefault="00000000">
      <w:pPr>
        <w:pStyle w:val="BodyText"/>
      </w:pPr>
      <w:r>
        <w:t># Actor Interactions (Hypotheses)</w:t>
      </w:r>
    </w:p>
    <w:p w14:paraId="17BED2C4" w14:textId="77777777" w:rsidR="00D24F6D" w:rsidRDefault="00000000">
      <w:pPr>
        <w:pStyle w:val="BodyText"/>
      </w:pPr>
      <w:r>
        <w:t>+ experienced_persuasion_actor_cw * (experienced_persuasion_cbc + experienced_persuasion_cwcbp)</w:t>
      </w:r>
    </w:p>
    <w:p w14:paraId="0EA85CAF" w14:textId="77777777" w:rsidR="00D24F6D" w:rsidRDefault="00000000">
      <w:pPr>
        <w:pStyle w:val="BodyText"/>
      </w:pPr>
      <w:r>
        <w:t># Partner Main Effect (Control)</w:t>
      </w:r>
    </w:p>
    <w:p w14:paraId="6BF850E1" w14:textId="77777777" w:rsidR="00D24F6D" w:rsidRDefault="00000000">
      <w:pPr>
        <w:pStyle w:val="BodyText"/>
      </w:pPr>
      <w:r>
        <w:t>+ experienced_persuasion_partner_cw</w:t>
      </w:r>
    </w:p>
    <w:p w14:paraId="3043C77E" w14:textId="77777777" w:rsidR="00D24F6D" w:rsidRDefault="00000000">
      <w:pPr>
        <w:pStyle w:val="BodyText"/>
      </w:pPr>
      <w:r>
        <w:t># Pressure Main Effects (Control)</w:t>
      </w:r>
    </w:p>
    <w:p w14:paraId="3348FB13" w14:textId="77777777" w:rsidR="00D24F6D" w:rsidRDefault="00000000">
      <w:pPr>
        <w:pStyle w:val="BodyText"/>
      </w:pPr>
      <w:r>
        <w:t>+ experienced_pressure_actor_cw</w:t>
      </w:r>
    </w:p>
    <w:p w14:paraId="11D4DAA0" w14:textId="77777777" w:rsidR="00D24F6D" w:rsidRDefault="00000000">
      <w:pPr>
        <w:pStyle w:val="BodyText"/>
      </w:pPr>
      <w:r>
        <w:t>+ experienced_pressure_partner_cw</w:t>
      </w:r>
    </w:p>
    <w:p w14:paraId="2DD3F3FC" w14:textId="77777777" w:rsidR="00D24F6D" w:rsidRDefault="00000000">
      <w:pPr>
        <w:pStyle w:val="BodyText"/>
      </w:pPr>
      <w:r>
        <w:t># If 3-factor model is supported: autonomy-ambivalent control # Main Effects (Control)</w:t>
      </w:r>
    </w:p>
    <w:p w14:paraId="3743C571" w14:textId="77777777" w:rsidR="00D24F6D" w:rsidRDefault="00000000">
      <w:pPr>
        <w:pStyle w:val="BodyText"/>
      </w:pPr>
      <w:r>
        <w:t>+ experienced_ambivalent_control_actor_cw</w:t>
      </w:r>
    </w:p>
    <w:p w14:paraId="3DFA510C" w14:textId="77777777" w:rsidR="00D24F6D" w:rsidRDefault="00000000">
      <w:pPr>
        <w:pStyle w:val="BodyText"/>
      </w:pPr>
      <w:r>
        <w:t>+ experienced_ambivalent_control_partner_cw</w:t>
      </w:r>
    </w:p>
    <w:p w14:paraId="470420C3" w14:textId="77777777" w:rsidR="00D24F6D" w:rsidRDefault="00000000">
      <w:pPr>
        <w:pStyle w:val="BodyText"/>
      </w:pPr>
      <w:r>
        <w:t># Covariates</w:t>
      </w:r>
    </w:p>
    <w:p w14:paraId="0469A5CC" w14:textId="77777777" w:rsidR="00D24F6D" w:rsidRDefault="00000000">
      <w:pPr>
        <w:pStyle w:val="BodyText"/>
      </w:pPr>
      <w:r>
        <w:t>+ time</w:t>
      </w:r>
    </w:p>
    <w:p w14:paraId="640A2520" w14:textId="77777777" w:rsidR="00D24F6D" w:rsidRDefault="00000000">
      <w:pPr>
        <w:pStyle w:val="BodyText"/>
      </w:pPr>
      <w:r>
        <w:t>+ wear_minutes</w:t>
      </w:r>
    </w:p>
    <w:p w14:paraId="743F284B" w14:textId="77777777" w:rsidR="00D24F6D" w:rsidRDefault="00000000">
      <w:pPr>
        <w:pStyle w:val="BodyText"/>
      </w:pPr>
      <w:r>
        <w:t>+ isWeekend</w:t>
      </w:r>
    </w:p>
    <w:p w14:paraId="35F9C620" w14:textId="77777777" w:rsidR="00D24F6D" w:rsidRDefault="00000000">
      <w:pPr>
        <w:pStyle w:val="BodyText"/>
      </w:pPr>
      <w:r>
        <w:t>+ isPlan</w:t>
      </w:r>
    </w:p>
    <w:p w14:paraId="4A327D49" w14:textId="77777777" w:rsidR="00D24F6D" w:rsidRDefault="00000000">
      <w:pPr>
        <w:pStyle w:val="BodyText"/>
      </w:pPr>
      <w:r>
        <w:t># Couple-Level Random Effects (if convergence allows and there is non-trivial heterogeneity, slopes for the other factors will also be included)</w:t>
      </w:r>
    </w:p>
    <w:p w14:paraId="0DFD3430" w14:textId="77777777" w:rsidR="00D24F6D" w:rsidRDefault="00000000">
      <w:pPr>
        <w:pStyle w:val="BodyText"/>
      </w:pPr>
      <w:r>
        <w:t>+ (1</w:t>
      </w:r>
    </w:p>
    <w:p w14:paraId="45C7C0AC" w14:textId="77777777" w:rsidR="00D24F6D" w:rsidRDefault="00000000">
      <w:pPr>
        <w:pStyle w:val="BodyText"/>
      </w:pPr>
      <w:r>
        <w:t>+ experienced_persuasion_actor_cw</w:t>
      </w:r>
    </w:p>
    <w:p w14:paraId="1B3758E8" w14:textId="77777777" w:rsidR="00D24F6D" w:rsidRDefault="00000000">
      <w:pPr>
        <w:pStyle w:val="BodyText"/>
      </w:pPr>
      <w:r>
        <w:t>+ experienced_persuasion_partner_cw</w:t>
      </w:r>
    </w:p>
    <w:p w14:paraId="355A8EA1" w14:textId="77777777" w:rsidR="00D24F6D" w:rsidRDefault="00000000">
      <w:pPr>
        <w:pStyle w:val="BodyText"/>
      </w:pPr>
      <w:r>
        <w:t>+ time</w:t>
      </w:r>
    </w:p>
    <w:p w14:paraId="6E1E81DD" w14:textId="77777777" w:rsidR="00D24F6D" w:rsidRDefault="00000000">
      <w:pPr>
        <w:pStyle w:val="BodyText"/>
      </w:pPr>
      <w:r>
        <w:t>| coupleID)</w:t>
      </w:r>
    </w:p>
    <w:p w14:paraId="2368F126" w14:textId="77777777" w:rsidR="00D24F6D" w:rsidRDefault="00000000">
      <w:pPr>
        <w:pStyle w:val="BodyText"/>
      </w:pPr>
      <w:r>
        <w:t># Deviation from the couple level random effect for both partners</w:t>
      </w:r>
    </w:p>
    <w:p w14:paraId="0BF80E02" w14:textId="77777777" w:rsidR="00D24F6D" w:rsidRDefault="00000000">
      <w:pPr>
        <w:pStyle w:val="BodyText"/>
      </w:pPr>
      <w:r>
        <w:t># (partners are contrast coded as –1 and 1 randomly with the variable Idiff)</w:t>
      </w:r>
    </w:p>
    <w:p w14:paraId="463E15FA" w14:textId="77777777" w:rsidR="00D24F6D" w:rsidRDefault="00000000">
      <w:pPr>
        <w:pStyle w:val="BodyText"/>
      </w:pPr>
      <w:r>
        <w:t># These blocks are modelled as uncorrelated to satisfy exchangeability.</w:t>
      </w:r>
    </w:p>
    <w:p w14:paraId="56DDFAF3" w14:textId="77777777" w:rsidR="00D24F6D" w:rsidRDefault="00000000">
      <w:pPr>
        <w:pStyle w:val="BodyText"/>
      </w:pPr>
      <w:r>
        <w:lastRenderedPageBreak/>
        <w:t># (if convergence allows and there is non-trivial heterogeneity, slopes for the other factors will also be included)</w:t>
      </w:r>
    </w:p>
    <w:p w14:paraId="1CF12208" w14:textId="77777777" w:rsidR="00D24F6D" w:rsidRDefault="00000000">
      <w:pPr>
        <w:pStyle w:val="BodyText"/>
      </w:pPr>
      <w:r>
        <w:t>+ (0 + Idiff</w:t>
      </w:r>
    </w:p>
    <w:p w14:paraId="69B35A01" w14:textId="77777777" w:rsidR="00D24F6D" w:rsidRDefault="00000000">
      <w:pPr>
        <w:pStyle w:val="BodyText"/>
      </w:pPr>
      <w:r>
        <w:t>+ I(Idiff * experienced_persuasion_actor_cw)</w:t>
      </w:r>
    </w:p>
    <w:p w14:paraId="2090D50C" w14:textId="77777777" w:rsidR="00D24F6D" w:rsidRDefault="00000000">
      <w:pPr>
        <w:pStyle w:val="BodyText"/>
      </w:pPr>
      <w:r>
        <w:t>+ I(Idiff * experienced_persuasion_partner_cw)</w:t>
      </w:r>
    </w:p>
    <w:p w14:paraId="6F49EA6C" w14:textId="77777777" w:rsidR="00D24F6D" w:rsidRDefault="00000000">
      <w:pPr>
        <w:pStyle w:val="BodyText"/>
      </w:pPr>
      <w:r>
        <w:t>+ I(Idiff * time)</w:t>
      </w:r>
    </w:p>
    <w:p w14:paraId="01B332DD" w14:textId="77777777" w:rsidR="00D24F6D" w:rsidRDefault="00000000">
      <w:pPr>
        <w:pStyle w:val="BodyText"/>
      </w:pPr>
      <w:r>
        <w:t>| coupleID)</w:t>
      </w:r>
    </w:p>
    <w:p w14:paraId="52B3050D" w14:textId="77777777" w:rsidR="00D24F6D" w:rsidRDefault="00000000">
      <w:pPr>
        <w:pStyle w:val="BodyText"/>
      </w:pPr>
      <w:r>
        <w:t># Allowing for a potential positive same-day correlation between partners</w:t>
      </w:r>
    </w:p>
    <w:p w14:paraId="38D5A97A" w14:textId="77777777" w:rsidR="00D24F6D" w:rsidRDefault="00000000">
      <w:pPr>
        <w:pStyle w:val="BodyText"/>
      </w:pPr>
      <w:r>
        <w:t># Modelled as a daily “shock”</w:t>
      </w:r>
    </w:p>
    <w:p w14:paraId="77D3916C" w14:textId="77777777" w:rsidR="00D24F6D" w:rsidRDefault="00000000">
      <w:pPr>
        <w:pStyle w:val="BodyText"/>
      </w:pPr>
      <w:r>
        <w:t>+ (1 | coupleID:day)</w:t>
      </w:r>
    </w:p>
    <w:p w14:paraId="0A7ECFDA" w14:textId="77777777" w:rsidR="00D24F6D" w:rsidRDefault="00000000">
      <w:pPr>
        <w:pStyle w:val="BodyText"/>
      </w:pPr>
      <w:r>
        <w:t>)</w:t>
      </w:r>
    </w:p>
    <w:p w14:paraId="3DF89C29" w14:textId="77777777" w:rsidR="00D24F6D" w:rsidRDefault="00000000">
      <w:pPr>
        <w:pStyle w:val="BodyText"/>
      </w:pPr>
      <w:r>
        <w:t>References:</w:t>
      </w:r>
    </w:p>
    <w:p w14:paraId="058BB30E" w14:textId="77777777" w:rsidR="00D24F6D" w:rsidRDefault="00000000">
      <w:pPr>
        <w:pStyle w:val="BodyText"/>
      </w:pPr>
      <w:r>
        <w:t xml:space="preserve">- Bürkner, P.-C. (2017). brms: An R package for Bayesian multilevel models using Stan. </w:t>
      </w:r>
      <w:r>
        <w:rPr>
          <w:i/>
          <w:iCs/>
        </w:rPr>
        <w:t>Journal of Statistical Software, 80</w:t>
      </w:r>
      <w:r>
        <w:t xml:space="preserve">(1), 1–28. </w:t>
      </w:r>
      <w:hyperlink r:id="rId22">
        <w:r>
          <w:rPr>
            <w:rStyle w:val="Hyperlink"/>
          </w:rPr>
          <w:t>https://doi.org/10.18637/jss.v080.i01</w:t>
        </w:r>
      </w:hyperlink>
    </w:p>
    <w:p w14:paraId="5B60D19D" w14:textId="77777777" w:rsidR="00D24F6D" w:rsidRDefault="00000000">
      <w:pPr>
        <w:pStyle w:val="BodyText"/>
      </w:pPr>
      <w:r>
        <w:t xml:space="preserve">- Stan Development Team. (2024). Convergence and efficiency diagnostics (Rhat, bulk-ESS, tail-ESS). </w:t>
      </w:r>
      <w:r>
        <w:rPr>
          <w:i/>
          <w:iCs/>
        </w:rPr>
        <w:t>rstan</w:t>
      </w:r>
      <w:r>
        <w:t xml:space="preserve"> reference. </w:t>
      </w:r>
      <w:hyperlink r:id="rId23">
        <w:r>
          <w:rPr>
            <w:rStyle w:val="Hyperlink"/>
          </w:rPr>
          <w:t>https://mc-stan.org/rstan/reference/Rhat.html</w:t>
        </w:r>
      </w:hyperlink>
    </w:p>
    <w:p w14:paraId="2C565059" w14:textId="77777777" w:rsidR="00D24F6D" w:rsidRDefault="00000000">
      <w:pPr>
        <w:pStyle w:val="BodyText"/>
      </w:pPr>
      <w:r>
        <w:t xml:space="preserve">- Stan Development Team. (2024). Diagnose and resolve convergence problems (E-BFMI guidance). </w:t>
      </w:r>
      <w:r>
        <w:rPr>
          <w:i/>
          <w:iCs/>
        </w:rPr>
        <w:t>Learn Stan</w:t>
      </w:r>
      <w:r>
        <w:t xml:space="preserve">. </w:t>
      </w:r>
      <w:hyperlink r:id="rId24">
        <w:r>
          <w:rPr>
            <w:rStyle w:val="Hyperlink"/>
          </w:rPr>
          <w:t>https://mc-stan.org/learn-stan/diagnostics-warnings.html</w:t>
        </w:r>
      </w:hyperlink>
    </w:p>
    <w:p w14:paraId="065537C8" w14:textId="77777777" w:rsidR="00D24F6D" w:rsidRDefault="00000000">
      <w:pPr>
        <w:pStyle w:val="BodyText"/>
      </w:pPr>
      <w:r>
        <w:t xml:space="preserve">- Küng, P. (2025). Tutorial: Distinguishable and exchangeable dyads—Bayesian multilevel modelling. Zenodo. </w:t>
      </w:r>
      <w:hyperlink r:id="rId25">
        <w:r>
          <w:rPr>
            <w:rStyle w:val="Hyperlink"/>
          </w:rPr>
          <w:t>https://doi.org/10.5281/zenodo.17445176</w:t>
        </w:r>
      </w:hyperlink>
    </w:p>
    <w:p w14:paraId="0E49B825" w14:textId="77777777" w:rsidR="00D24F6D" w:rsidRDefault="00000000">
      <w:pPr>
        <w:pStyle w:val="Heading3"/>
      </w:pPr>
      <w:bookmarkStart w:id="68" w:name="transformations"/>
      <w:bookmarkEnd w:id="61"/>
      <w:r>
        <w:t>Transformations</w:t>
      </w:r>
    </w:p>
    <w:p w14:paraId="3D2A17AB" w14:textId="77777777" w:rsidR="00D24F6D" w:rsidRDefault="00000000">
      <w:pPr>
        <w:numPr>
          <w:ilvl w:val="0"/>
          <w:numId w:val="27"/>
        </w:numPr>
      </w:pPr>
      <w:r>
        <w:t>Daily social control composites are computed as means under preregistered rules (2- or 3-factor structure).</w:t>
      </w:r>
    </w:p>
    <w:p w14:paraId="12DAC5C1" w14:textId="77777777" w:rsidR="00D24F6D" w:rsidRDefault="00000000">
      <w:pPr>
        <w:numPr>
          <w:ilvl w:val="0"/>
          <w:numId w:val="27"/>
        </w:numPr>
      </w:pPr>
      <w:r>
        <w:t>Within- and between-person decomposition uses person-mean centering; between-person scores are aggregated across diary days (Bolger &amp; Laurenceau, 2013, Enders &amp; Tofighi, 2007).</w:t>
      </w:r>
    </w:p>
    <w:p w14:paraId="6DE12D4A" w14:textId="77777777" w:rsidR="00D24F6D" w:rsidRDefault="00000000">
      <w:pPr>
        <w:numPr>
          <w:ilvl w:val="0"/>
          <w:numId w:val="27"/>
        </w:numPr>
      </w:pPr>
      <w:r>
        <w:t>Dyadic mean and within-dyad difference scores are computed from between-person actor (A) and partner (P) scores using orthogonal linear transformations. We use the dyadic mean as (A + P) / 2 and the dyadic half-difference as (A − P) / 2 (difference from the dyadic mean).</w:t>
      </w:r>
    </w:p>
    <w:p w14:paraId="72936837" w14:textId="77777777" w:rsidR="00D24F6D" w:rsidRDefault="00000000">
      <w:pPr>
        <w:numPr>
          <w:ilvl w:val="0"/>
          <w:numId w:val="27"/>
        </w:numPr>
      </w:pPr>
      <w:r>
        <w:t>Time is scaled to be between 0 and 1 (0 = day 1, 1 = day 55). The original day index (1–55) is retained for defining same-day partner correlation terms.</w:t>
      </w:r>
    </w:p>
    <w:p w14:paraId="1C11FB65" w14:textId="77777777" w:rsidR="00D24F6D" w:rsidRDefault="00000000">
      <w:pPr>
        <w:numPr>
          <w:ilvl w:val="0"/>
          <w:numId w:val="27"/>
        </w:numPr>
      </w:pPr>
      <w:r>
        <w:lastRenderedPageBreak/>
        <w:t>On days when reactance was assessed (e.g., any social control occurred), reactance is split into (1) a 0/1 indicator for whether any reactance occurred (0 = none, 1 = any), and (2) an intensity score on days with reactance. Intensity is rescaled from the 0–5 scale to the 0–1 range. To meet beta-regression requirements, any values at the exact boundaries are shifted slightly inward so that the rescaled intensity lies strictly between 0 and 1 (specifically, between 0.0001 and 0.9999).</w:t>
      </w:r>
    </w:p>
    <w:p w14:paraId="78E61D71" w14:textId="77777777" w:rsidR="00D24F6D" w:rsidRDefault="00000000">
      <w:pPr>
        <w:numPr>
          <w:ilvl w:val="0"/>
          <w:numId w:val="27"/>
        </w:numPr>
      </w:pPr>
      <w:r>
        <w:t>Depending on model fit and convergence, transformations of variables may become necessary.</w:t>
      </w:r>
    </w:p>
    <w:p w14:paraId="2F046A65" w14:textId="77777777" w:rsidR="00D24F6D" w:rsidRDefault="00000000">
      <w:pPr>
        <w:pStyle w:val="FirstParagraph"/>
      </w:pPr>
      <w:r>
        <w:t>References:</w:t>
      </w:r>
    </w:p>
    <w:p w14:paraId="57725F5C" w14:textId="77777777" w:rsidR="00D24F6D" w:rsidRDefault="00000000">
      <w:pPr>
        <w:pStyle w:val="BodyText"/>
      </w:pPr>
      <w:r>
        <w:t xml:space="preserve">- Bolger, N., &amp; Laurenceau, J.-P. (2013). </w:t>
      </w:r>
      <w:r>
        <w:rPr>
          <w:i/>
          <w:iCs/>
        </w:rPr>
        <w:t>Intensive longitudinal methods: An introduction to diary and experience sampling research.</w:t>
      </w:r>
      <w:r>
        <w:t xml:space="preserve"> Guilford Press.</w:t>
      </w:r>
    </w:p>
    <w:p w14:paraId="59C12EE0" w14:textId="77777777" w:rsidR="00D24F6D" w:rsidRDefault="00000000">
      <w:pPr>
        <w:pStyle w:val="BodyText"/>
      </w:pPr>
      <w:r>
        <w:t xml:space="preserve">- Enders, C. K., &amp; Tofighi, D. (2007). Centering predictor variables in cross-sectional multilevel models: A new look at an old issue. </w:t>
      </w:r>
      <w:r>
        <w:rPr>
          <w:i/>
          <w:iCs/>
        </w:rPr>
        <w:t>Psychological Methods</w:t>
      </w:r>
      <w:r>
        <w:t xml:space="preserve">, </w:t>
      </w:r>
      <w:r>
        <w:rPr>
          <w:i/>
          <w:iCs/>
        </w:rPr>
        <w:t>12</w:t>
      </w:r>
      <w:r>
        <w:t xml:space="preserve">(2), 121–138. </w:t>
      </w:r>
      <w:hyperlink r:id="rId26">
        <w:r>
          <w:rPr>
            <w:rStyle w:val="Hyperlink"/>
          </w:rPr>
          <w:t>https://doi.org/10.1037/1082-989X.12.2.121</w:t>
        </w:r>
      </w:hyperlink>
    </w:p>
    <w:p w14:paraId="63303B23" w14:textId="77777777" w:rsidR="00D24F6D" w:rsidRDefault="00D24F6D">
      <w:pPr>
        <w:pStyle w:val="BodyText"/>
      </w:pPr>
    </w:p>
    <w:p w14:paraId="4C599FE8" w14:textId="77777777" w:rsidR="00D24F6D" w:rsidRDefault="00000000">
      <w:pPr>
        <w:pStyle w:val="Heading3"/>
      </w:pPr>
      <w:bookmarkStart w:id="69" w:name="inference-criteria"/>
      <w:bookmarkEnd w:id="68"/>
      <w:r>
        <w:t>Inference criteria</w:t>
      </w:r>
    </w:p>
    <w:p w14:paraId="25585A3B" w14:textId="77777777" w:rsidR="00D24F6D" w:rsidRDefault="00000000">
      <w:pPr>
        <w:pStyle w:val="FirstParagraph"/>
      </w:pPr>
      <w:r>
        <w:t>Hypotheses are evaluated on the corresponding fixed-effect terms and by using brms::hypothesis(). Specifically:</w:t>
      </w:r>
    </w:p>
    <w:p w14:paraId="498A3FD5" w14:textId="77777777" w:rsidR="00D24F6D" w:rsidRDefault="00000000">
      <w:pPr>
        <w:numPr>
          <w:ilvl w:val="0"/>
          <w:numId w:val="28"/>
        </w:numPr>
      </w:pPr>
      <w:r>
        <w:t>H1–H2 are tested on the actor within-person main-effect slopes</w:t>
      </w:r>
    </w:p>
    <w:p w14:paraId="57BFA346" w14:textId="77777777" w:rsidR="00D24F6D" w:rsidRDefault="00000000">
      <w:pPr>
        <w:numPr>
          <w:ilvl w:val="0"/>
          <w:numId w:val="28"/>
        </w:numPr>
      </w:pPr>
      <w:r>
        <w:t>H3–H4 are tested via the hypothesis function (e.g., “βambivalent−βpersuasion == 0”)</w:t>
      </w:r>
    </w:p>
    <w:p w14:paraId="6DE7868C" w14:textId="77777777" w:rsidR="00D24F6D" w:rsidRDefault="00000000">
      <w:pPr>
        <w:numPr>
          <w:ilvl w:val="0"/>
          <w:numId w:val="28"/>
        </w:numPr>
      </w:pPr>
      <w:r>
        <w:t>H5–H8 are tested on the cross-level interaction terms (actor within-person slope × dyadic mean; actor within-person slope × within-dyad difference).</w:t>
      </w:r>
    </w:p>
    <w:p w14:paraId="6621AC0F" w14:textId="77777777" w:rsidR="00D24F6D" w:rsidRDefault="00000000">
      <w:pPr>
        <w:numPr>
          <w:ilvl w:val="0"/>
          <w:numId w:val="28"/>
        </w:numPr>
      </w:pPr>
      <w:r>
        <w:t>and H9–H10 are tested via linear combinations of those interaction terms (actor- and partner-climate contrasts).</w:t>
      </w:r>
    </w:p>
    <w:p w14:paraId="34D29763" w14:textId="77777777" w:rsidR="00D24F6D" w:rsidRDefault="00000000">
      <w:pPr>
        <w:pStyle w:val="FirstParagraph"/>
      </w:pPr>
      <w:r>
        <w:t>Inference is Bayesian and focuses on estimation and uncertainty. For each parameter of interest, we report posterior medians and 95% equal-tailed credible intervals. Evidence for a directional association is inferred from probability of direction (pd). Parameters with a pd ≥ .975 are interpreted as having a credibly directional effect, conceptually aligning with a two-sided frequentist p-value of 0.05 (p = 2 * [1 - pd]; Makowski et al., 2019). For competing hypotheses, the supported direction is determined by the sign and pd threshold. Otherwise, the result is treated as inconclusive.</w:t>
      </w:r>
    </w:p>
    <w:p w14:paraId="0E0685F0" w14:textId="77777777" w:rsidR="00D24F6D" w:rsidRDefault="00000000">
      <w:pPr>
        <w:pStyle w:val="BodyText"/>
      </w:pPr>
      <w:r>
        <w:t>References:</w:t>
      </w:r>
    </w:p>
    <w:p w14:paraId="2B4CFAEA" w14:textId="77777777" w:rsidR="00D24F6D" w:rsidRDefault="00000000">
      <w:pPr>
        <w:pStyle w:val="BodyText"/>
      </w:pPr>
      <w:r>
        <w:lastRenderedPageBreak/>
        <w:t xml:space="preserve">- Makowski, D., Ben-Shachar, M. S., Chen, S. H. A., &amp; Lüdecke, D. (2019). Indices of effect existence and significance in the Bayesian framework. </w:t>
      </w:r>
      <w:r>
        <w:rPr>
          <w:i/>
          <w:iCs/>
        </w:rPr>
        <w:t>Frontiers in Psychology, 10</w:t>
      </w:r>
      <w:r>
        <w:t xml:space="preserve">, 2767. </w:t>
      </w:r>
      <w:hyperlink r:id="rId27">
        <w:r>
          <w:rPr>
            <w:rStyle w:val="Hyperlink"/>
          </w:rPr>
          <w:t>https://doi.org/10.3389/fpsyg.2019.02767</w:t>
        </w:r>
      </w:hyperlink>
    </w:p>
    <w:p w14:paraId="4342BBB9" w14:textId="77777777" w:rsidR="00D24F6D" w:rsidRDefault="00000000">
      <w:pPr>
        <w:pStyle w:val="Heading3"/>
      </w:pPr>
      <w:bookmarkStart w:id="70" w:name="data-inclusion-and-exclusion"/>
      <w:bookmarkEnd w:id="69"/>
      <w:r>
        <w:t>Data inclusion and exclusion</w:t>
      </w:r>
    </w:p>
    <w:p w14:paraId="72288471" w14:textId="77777777" w:rsidR="00D24F6D" w:rsidRDefault="00000000">
      <w:pPr>
        <w:pStyle w:val="FirstParagraph"/>
      </w:pPr>
      <w:r>
        <w:t>Device-based physical activity days with insufficient wear time are set to missing (threshold: ≤ 10 hours/day), and therefore excluded from device-based MVPA models (Colley et al., 2010). Models will use complete-case analyses and automatically remove rows with missingness on at least one of the variables in the model. No further exclusions are planned beyond these preregistered rules.</w:t>
      </w:r>
    </w:p>
    <w:p w14:paraId="176DD3E5" w14:textId="77777777" w:rsidR="00D24F6D" w:rsidRDefault="00000000">
      <w:pPr>
        <w:pStyle w:val="BodyText"/>
      </w:pPr>
      <w:r>
        <w:t>References:</w:t>
      </w:r>
    </w:p>
    <w:p w14:paraId="6B66C0F2" w14:textId="77777777" w:rsidR="00D24F6D" w:rsidRDefault="00000000">
      <w:pPr>
        <w:pStyle w:val="BodyText"/>
      </w:pPr>
      <w:r>
        <w:t xml:space="preserve">- Colley, R., Gorber, S. C., &amp; Tremblay, M. S. (2010). Quality control and data reduction procedures for accelerometry-derived measures of physical activity. </w:t>
      </w:r>
      <w:r>
        <w:rPr>
          <w:i/>
          <w:iCs/>
        </w:rPr>
        <w:t>Health Reports, 21</w:t>
      </w:r>
      <w:r>
        <w:t>(1), 63–69.</w:t>
      </w:r>
    </w:p>
    <w:p w14:paraId="6004EC10" w14:textId="77777777" w:rsidR="00D24F6D" w:rsidRDefault="00000000">
      <w:pPr>
        <w:pStyle w:val="Heading3"/>
      </w:pPr>
      <w:bookmarkStart w:id="71" w:name="missing-data"/>
      <w:bookmarkEnd w:id="70"/>
      <w:r>
        <w:t>Missing data</w:t>
      </w:r>
    </w:p>
    <w:p w14:paraId="37E10E3C" w14:textId="77777777" w:rsidR="00D24F6D" w:rsidRDefault="00000000">
      <w:pPr>
        <w:pStyle w:val="FirstParagraph"/>
      </w:pPr>
      <w:r>
        <w:t>We use complete-case analysis per model. Any observation (person-day) with missing values on the modeled variables is omitted from that specific model.</w:t>
      </w:r>
    </w:p>
    <w:p w14:paraId="4FEBE744" w14:textId="77777777" w:rsidR="00D24F6D" w:rsidRDefault="00000000">
      <w:pPr>
        <w:pStyle w:val="Heading3"/>
      </w:pPr>
      <w:bookmarkStart w:id="72" w:name="other-planned-analyses"/>
      <w:bookmarkEnd w:id="71"/>
      <w:r>
        <w:t>Other planned analyses</w:t>
      </w:r>
    </w:p>
    <w:p w14:paraId="281402E2" w14:textId="77777777" w:rsidR="00D24F6D" w:rsidRDefault="00000000">
      <w:pPr>
        <w:pStyle w:val="FirstParagraph"/>
      </w:pPr>
      <w:r>
        <w:t>None.</w:t>
      </w:r>
    </w:p>
    <w:p w14:paraId="22BF5026" w14:textId="77777777" w:rsidR="00D24F6D" w:rsidRDefault="00000000">
      <w:pPr>
        <w:pStyle w:val="Heading2"/>
      </w:pPr>
      <w:bookmarkStart w:id="73" w:name="other"/>
      <w:bookmarkEnd w:id="60"/>
      <w:bookmarkEnd w:id="72"/>
      <w:r>
        <w:t>Other</w:t>
      </w:r>
    </w:p>
    <w:p w14:paraId="2072968D" w14:textId="77777777" w:rsidR="00D24F6D" w:rsidRDefault="00000000">
      <w:pPr>
        <w:pStyle w:val="Heading3"/>
      </w:pPr>
      <w:bookmarkStart w:id="74" w:name="context-and-additional-information"/>
      <w:r>
        <w:t>Context and additional information</w:t>
      </w:r>
    </w:p>
    <w:p w14:paraId="67066368" w14:textId="77777777" w:rsidR="00D24F6D" w:rsidRDefault="00000000">
      <w:pPr>
        <w:pStyle w:val="FirstParagraph"/>
      </w:pPr>
      <w:r>
        <w:t>None</w:t>
      </w:r>
    </w:p>
    <w:p w14:paraId="7B2071DB" w14:textId="77777777" w:rsidR="00D24F6D" w:rsidRDefault="00D24F6D">
      <w:pPr>
        <w:pStyle w:val="Heading1"/>
      </w:pPr>
      <w:bookmarkStart w:id="75" w:name="section"/>
      <w:bookmarkEnd w:id="73"/>
      <w:bookmarkEnd w:id="74"/>
    </w:p>
    <w:p w14:paraId="26BCE009" w14:textId="77777777" w:rsidR="00D24F6D" w:rsidRDefault="00000000">
      <w:pPr>
        <w:pStyle w:val="Heading1"/>
      </w:pPr>
      <w:bookmarkStart w:id="76" w:name="draft-abstract-for-ehps"/>
      <w:bookmarkEnd w:id="75"/>
      <w:r>
        <w:t>Draft Abstract for EHPS:</w:t>
      </w:r>
    </w:p>
    <w:p w14:paraId="36EB8E50" w14:textId="77777777" w:rsidR="00D24F6D" w:rsidRDefault="00000000">
      <w:pPr>
        <w:pStyle w:val="FirstParagraph"/>
      </w:pPr>
      <w:r>
        <w:rPr>
          <w:b/>
          <w:bCs/>
        </w:rPr>
        <w:t>Title (15 words or less):</w:t>
      </w:r>
    </w:p>
    <w:p w14:paraId="05BF7320" w14:textId="77777777" w:rsidR="00D24F6D" w:rsidRDefault="00000000">
      <w:pPr>
        <w:pStyle w:val="BodyText"/>
      </w:pPr>
      <w:r>
        <w:t>Dyad-as-Context: How Relationship Patterns Shape Daily Health-Related Social Control and Physical Activity</w:t>
      </w:r>
    </w:p>
    <w:p w14:paraId="1CB040DC" w14:textId="77777777" w:rsidR="00D24F6D" w:rsidRDefault="00000000">
      <w:pPr>
        <w:pStyle w:val="BodyText"/>
      </w:pPr>
      <w:r>
        <w:rPr>
          <w:b/>
          <w:bCs/>
        </w:rPr>
        <w:t>Background:</w:t>
      </w:r>
      <w:r>
        <w:t xml:space="preserve"> Romantic partners influence each other’s moderate‑to‑vigorous physical activity (MVPA) through health‑related social control strategies. While these strategies likely exist on a continuum from autonomy-limitation to autonomy-promotion, research often dichotomizes them: Autonomy-promoting strategies often yield favorable behavioral </w:t>
      </w:r>
      <w:r>
        <w:lastRenderedPageBreak/>
        <w:t>and affective outcomes, whereas autonomy-limiting strategies may elicit reactance and backfire. We first test whether a 3‑factor structure (adding autonomy-ambivalent control) is supported compared to the traditional dichotomy.</w:t>
      </w:r>
    </w:p>
    <w:p w14:paraId="30B4EE2C" w14:textId="77777777" w:rsidR="00D24F6D" w:rsidRDefault="00000000">
      <w:pPr>
        <w:pStyle w:val="BodyText"/>
      </w:pPr>
      <w:r>
        <w:t>Importantly, daily social control does not occur in a vacuum. We examine the dyadic control climate, defined by the couple’s average levels of control and the imbalance between partners. We test whether high couple-mean levels of social control moderate its daily links (e.g., via desensitization) with MVPA and reactance, and whether individuals who experience more control on average than their partners react differently to daily influence (e.g., via inequity).</w:t>
      </w:r>
    </w:p>
    <w:p w14:paraId="2821D4F1" w14:textId="77777777" w:rsidR="00D24F6D" w:rsidRDefault="00000000">
      <w:pPr>
        <w:pStyle w:val="BodyText"/>
      </w:pPr>
      <w:r>
        <w:rPr>
          <w:b/>
          <w:bCs/>
        </w:rPr>
        <w:t>Methods:</w:t>
      </w:r>
      <w:r>
        <w:t xml:space="preserve"> Over 55 days, </w:t>
      </w:r>
      <w:r>
        <w:rPr>
          <w:highlight w:val="yellow"/>
        </w:rPr>
        <w:t>N = 100</w:t>
      </w:r>
      <w:r>
        <w:t xml:space="preserve"> insufficiently active cohabiting romantic couples attempting to increase their MVPA were tracked via wrist‑worn accelerometers and daily questionnaires. Structural equation modeling compares 3‑ versus 2‑factor structures. Bayesian multilevel dyadic models test direct and moderation effects.</w:t>
      </w:r>
    </w:p>
    <w:p w14:paraId="34F2FBEA" w14:textId="77777777" w:rsidR="00D24F6D" w:rsidRDefault="00000000">
      <w:pPr>
        <w:pStyle w:val="BodyText"/>
      </w:pPr>
      <w:r>
        <w:rPr>
          <w:b/>
          <w:bCs/>
        </w:rPr>
        <w:t>Findings:</w:t>
      </w:r>
    </w:p>
    <w:p w14:paraId="68B71C18" w14:textId="77777777" w:rsidR="00D24F6D" w:rsidRDefault="00000000">
      <w:pPr>
        <w:pStyle w:val="BodyText"/>
      </w:pPr>
      <w:r>
        <w:rPr>
          <w:b/>
          <w:bCs/>
        </w:rPr>
        <w:t>Discussion:</w:t>
      </w:r>
    </w:p>
    <w:p w14:paraId="53BDA7A0" w14:textId="77777777" w:rsidR="00D24F6D" w:rsidRDefault="00000000">
      <w:pPr>
        <w:pStyle w:val="BodyText"/>
      </w:pPr>
      <w:r>
        <w:t>[words: 176 / 250]</w:t>
      </w:r>
      <w:bookmarkEnd w:id="76"/>
    </w:p>
    <w:sectPr w:rsidR="00D24F6D">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Urte Scholz" w:date="2026-02-11T08:09:00Z" w:initials="DC">
    <w:p w14:paraId="00000022" w14:textId="77777777" w:rsidR="00D24F6D" w:rsidRDefault="00D13930">
      <w:r>
        <w:rPr>
          <w:rStyle w:val="CommentReference"/>
        </w:rPr>
        <w:annotationRef/>
      </w:r>
      <w:r w:rsidR="00000000">
        <w:t>very long title -if you now deleted relationship satisfaction as outcome, it is not about relational responses anymore</w:t>
      </w:r>
    </w:p>
  </w:comment>
  <w:comment w:id="3" w:author="Pascal Küng" w:date="2026-02-11T15:39:00Z" w:initials="DC">
    <w:p w14:paraId="00000023" w14:textId="77777777" w:rsidR="00D24F6D" w:rsidRDefault="00D13930">
      <w:r>
        <w:rPr>
          <w:rStyle w:val="CommentReference"/>
        </w:rPr>
        <w:annotationRef/>
      </w:r>
      <w:r w:rsidR="00000000">
        <w:t>I am still thinking of switching to the term Dyad-as-context to align with person-as-context.</w:t>
      </w:r>
    </w:p>
  </w:comment>
  <w:comment w:id="1" w:author="codex" w:initials="DC">
    <w:p w14:paraId="104BB3D9" w14:textId="77777777" w:rsidR="00D24F6D" w:rsidRDefault="00D13930">
      <w:r>
        <w:rPr>
          <w:rStyle w:val="CommentReference"/>
        </w:rPr>
        <w:annotationRef/>
      </w:r>
      <w:r w:rsidR="00000000">
        <w:t>Relationship satisfaction is retained, so "relational responses" is still accurate. If you want a shorter option: "Does Dyadic Climate of Health-Related Social Control Shape Daily Behavioral and Relational Responses?"</w:t>
      </w:r>
    </w:p>
  </w:comment>
  <w:comment w:id="4" w:author="Urte Scholz" w:date="2026-02-11T08:11:00Z" w:initials="DC">
    <w:p w14:paraId="0000001F" w14:textId="77777777" w:rsidR="00D24F6D" w:rsidRDefault="00D13930">
      <w:r>
        <w:rPr>
          <w:rStyle w:val="CommentReference"/>
        </w:rPr>
        <w:annotationRef/>
      </w:r>
      <w:r w:rsidR="00000000">
        <w:t>ok, so you kept the relationship satisfaction outcome :-)</w:t>
      </w:r>
    </w:p>
  </w:comment>
  <w:comment w:id="5" w:author="Urte Scholz" w:date="2026-02-11T08:20:00Z" w:initials="DC">
    <w:p w14:paraId="00000025" w14:textId="77777777" w:rsidR="00D24F6D" w:rsidRDefault="00D13930">
      <w:r>
        <w:rPr>
          <w:rStyle w:val="CommentReference"/>
        </w:rPr>
        <w:annotationRef/>
      </w:r>
      <w:r w:rsidR="00000000">
        <w:t>either "within-dyad difference" or "relative standing". I'm in favor of "within-dyad difference"</w:t>
      </w:r>
    </w:p>
  </w:comment>
  <w:comment w:id="11" w:author="Urte Scholz" w:date="2026-02-11T08:32:00Z" w:initials="DC">
    <w:p w14:paraId="2DD475F9" w14:textId="77777777" w:rsidR="00D24F6D" w:rsidRDefault="00D13930">
      <w:r>
        <w:rPr>
          <w:rStyle w:val="CommentReference"/>
        </w:rPr>
        <w:annotationRef/>
      </w:r>
      <w:r w:rsidR="00000000">
        <w:t>you cannot say intermediate / neutral control. If you want to use these terms, they always have to be in combination with autonomy-, i.e. you need to add that it is intermediate / neutral with regard to what. Otherwise, this is not comprehensible. So please pick a term and then use this consistently throughout. I think the best (for now) is autonomy-neutral. It is a bit odd that you then use persuasion and pressure for the other two kinds of control, and not autonomy-limiting and autonomy-supporting, this in itself is a little inconsistency in my eyes. But I also understand that it makes sense to use the terms you used in your other papers. The term for autonomy-neutral, however, is not trivial as we aim at establishing a new construct here and this needs to be comprehensible in itself.</w:t>
      </w:r>
    </w:p>
    <w:p w14:paraId="4ABEAAEC" w14:textId="77777777" w:rsidR="00D24F6D" w:rsidRDefault="00000000">
      <w:r>
        <w:t>Hier mal die Antwort von Claude für einen anderen Begriff:</w:t>
      </w:r>
    </w:p>
    <w:p w14:paraId="0FAFF4EE" w14:textId="77777777" w:rsidR="00D24F6D" w:rsidRDefault="00000000">
      <w:r>
        <w:t>Für diese Mittelkategorie zwischen persuasion und pressure könntest du folgende Begriffe in Betracht ziehen:</w:t>
      </w:r>
    </w:p>
    <w:p w14:paraId="6C541617" w14:textId="77777777" w:rsidR="00D24F6D" w:rsidRDefault="00000000">
      <w:r>
        <w:t>Guidance – impliziert Orientierung geben ohne zu drängen, passt gut zur neutralen Position</w:t>
      </w:r>
    </w:p>
    <w:p w14:paraId="70E06311" w14:textId="77777777" w:rsidR="00D24F6D" w:rsidRDefault="00000000">
      <w:r>
        <w:t>Prompting – sanftes Anstoßen, das weder stark unterstützend noch einschränkend wirkt</w:t>
      </w:r>
    </w:p>
    <w:p w14:paraId="6B4586F9" w14:textId="77777777" w:rsidR="00D24F6D" w:rsidRDefault="00000000">
      <w:r>
        <w:t>Nudging – aus der Verhaltensökonomie bekannt, beschreibt subtile Anstöße ohne Zwang</w:t>
      </w:r>
    </w:p>
    <w:p w14:paraId="6557EBC7" w14:textId="77777777" w:rsidR="00D24F6D" w:rsidRDefault="00000000">
      <w:r>
        <w:t>Monitoring – beobachtende Kontrolle, die Aufmerksamkeit signalisiert ohne aktiv einzugreifen</w:t>
      </w:r>
    </w:p>
    <w:p w14:paraId="78FD0BBA" w14:textId="77777777" w:rsidR="00D24F6D" w:rsidRDefault="00000000">
      <w:r>
        <w:t>Suggestion – Vorschläge machen, die zwischen Information und Druck liegen</w:t>
      </w:r>
    </w:p>
    <w:p w14:paraId="1EB7E7FE" w14:textId="77777777" w:rsidR="00D24F6D" w:rsidRDefault="00000000">
      <w:r>
        <w:t>Facilitation – ermöglichend, aber weniger aktiv unterstützend als persuasion</w:t>
      </w:r>
    </w:p>
    <w:p w14:paraId="00000010" w14:textId="77777777" w:rsidR="00D24F6D" w:rsidRDefault="00000000">
      <w:r>
        <w:t>Finde ich leider alles nicht so toll. Auf keinen nudging, allenfalls noch prompting. Überleg doch bitte auch nochmal.</w:t>
      </w:r>
    </w:p>
  </w:comment>
  <w:comment w:id="12" w:author="Pascal Küng" w:date="2026-02-11T15:59:00Z" w:initials="DC">
    <w:p w14:paraId="00000011" w14:textId="77777777" w:rsidR="00D24F6D" w:rsidRDefault="00D13930">
      <w:r>
        <w:rPr>
          <w:rStyle w:val="CommentReference"/>
        </w:rPr>
        <w:annotationRef/>
      </w:r>
      <w:r w:rsidR="00000000">
        <w:t>Ich habe nochmal darüber nachgedacht. Wenn wir voll ins kontinuum rein wollen, dann wäre autonomy-ambivalent vielleicht noch gut. autonomy-promoting ist immer klar promoting, limiting ist auch immer klar, und ambivalent ist in der Mitte und kann dann auch vielleicht mal so, mal so interpretiert werden. Ansonsten können wir im Paper immernoch auf autonomy-intermediate oder so schwänken, oder einen inhaltlichen Begriff suchen. Das wäre mal mein Vorschlag :) Passt dann auch gut zu den explorativen Analysen des Kontinuums.</w:t>
      </w:r>
    </w:p>
  </w:comment>
  <w:comment w:id="10" w:author="codex" w:initials="DC">
    <w:p w14:paraId="433F44A1" w14:textId="77777777" w:rsidR="00D24F6D" w:rsidRDefault="00D13930">
      <w:r>
        <w:rPr>
          <w:rStyle w:val="CommentReference"/>
        </w:rPr>
        <w:annotationRef/>
      </w:r>
      <w:r w:rsidR="00000000">
        <w:t>I standardized terminology in the preregistration text to autonomy-ambivalent control and avoided standalone "neutral/intermediate" wording outside comments.</w:t>
      </w:r>
    </w:p>
  </w:comment>
  <w:comment w:id="8" w:author="Pascal Küng" w:date="2026-02-11T13:25:00Z" w:initials="DC">
    <w:p w14:paraId="00000002" w14:textId="77777777" w:rsidR="00D24F6D" w:rsidRDefault="00D13930">
      <w:r>
        <w:rPr>
          <w:rStyle w:val="CommentReference"/>
        </w:rPr>
        <w:annotationRef/>
      </w:r>
      <w:r w:rsidR="00000000">
        <w:t>@Robert Tobias Wie findest du das?</w:t>
      </w:r>
    </w:p>
  </w:comment>
  <w:comment w:id="9" w:author="Robert Tobias" w:date="2026-02-12T01:24:00Z" w:initials="DC">
    <w:p w14:paraId="00000003" w14:textId="77777777" w:rsidR="00D24F6D" w:rsidRDefault="00D13930">
      <w:r>
        <w:rPr>
          <w:rStyle w:val="CommentReference"/>
        </w:rPr>
        <w:annotationRef/>
      </w:r>
      <w:r w:rsidR="00000000">
        <w:t>Ich denke das ist o.k. so.</w:t>
      </w:r>
    </w:p>
  </w:comment>
  <w:comment w:id="13" w:author="Pascal Küng" w:date="2026-02-10T19:13:00Z" w:initials="DC">
    <w:p w14:paraId="0000001C" w14:textId="77777777" w:rsidR="00D24F6D" w:rsidRDefault="00D13930">
      <w:r>
        <w:rPr>
          <w:rStyle w:val="CommentReference"/>
        </w:rPr>
        <w:annotationRef/>
      </w:r>
      <w:r w:rsidR="00000000">
        <w:t>@Urte hier ein Vorschlag, den ich sauber finden würde. Was meinst du dazu? Dann kann man im Manuskript einfach aufs Supplement verweisen, gemäss Präregistrierung.</w:t>
      </w:r>
    </w:p>
  </w:comment>
  <w:comment w:id="14" w:author="Urte Scholz" w:date="2026-02-11T08:34:00Z" w:initials="DC">
    <w:p w14:paraId="0000001D" w14:textId="77777777" w:rsidR="00D24F6D" w:rsidRDefault="00D13930">
      <w:r>
        <w:rPr>
          <w:rStyle w:val="CommentReference"/>
        </w:rPr>
        <w:annotationRef/>
      </w:r>
      <w:r w:rsidR="00000000">
        <w:t>ja, das finde ich auch gut so. Ich würde "additionally" löschen. Das sind ja im Grunde die Hauptpunkte des Papers.</w:t>
      </w:r>
    </w:p>
  </w:comment>
  <w:comment w:id="15" w:author="Urte Scholz" w:date="2026-02-11T08:44:00Z" w:initials="DC">
    <w:p w14:paraId="0000001B" w14:textId="77777777" w:rsidR="00D24F6D" w:rsidRDefault="00D13930">
      <w:r>
        <w:rPr>
          <w:rStyle w:val="CommentReference"/>
        </w:rPr>
        <w:annotationRef/>
      </w:r>
      <w:r w:rsidR="00000000">
        <w:t>hier ist halt die Frage, wie wir das analysieren</w:t>
      </w:r>
    </w:p>
  </w:comment>
  <w:comment w:id="16" w:author="Pascal Küng" w:date="2026-02-10T19:44:00Z" w:initials="DC">
    <w:p w14:paraId="00000018" w14:textId="77777777" w:rsidR="00D24F6D" w:rsidRDefault="00D13930">
      <w:r>
        <w:rPr>
          <w:rStyle w:val="CommentReference"/>
        </w:rPr>
        <w:annotationRef/>
      </w:r>
      <w:r w:rsidR="00000000">
        <w:t>less unfavorable (not just weaker) because it is not necessarily just weaker, but could even be positive (and larger in magnitude, theoretically).</w:t>
      </w:r>
    </w:p>
  </w:comment>
  <w:comment w:id="17" w:author="Pascal Küng" w:date="2026-02-11T15:35:00Z" w:initials="DC">
    <w:p w14:paraId="00000019" w14:textId="77777777" w:rsidR="00D24F6D" w:rsidRDefault="00D13930">
      <w:r>
        <w:rPr>
          <w:rStyle w:val="CommentReference"/>
        </w:rPr>
        <w:annotationRef/>
      </w:r>
      <w:r w:rsidR="00000000">
        <w:t>Genau, das wäre auch eine Möglichkeit. Ich denke, so ist es erstmal verständlich und wir können wür das Paper ja dann noch überlegen, oder?</w:t>
      </w:r>
    </w:p>
  </w:comment>
  <w:comment w:id="18" w:author="Urte Scholz" w:date="2026-02-11T08:46:00Z" w:initials="DC">
    <w:p w14:paraId="0000001A" w14:textId="77777777" w:rsidR="00D24F6D" w:rsidRDefault="00D13930">
      <w:r>
        <w:rPr>
          <w:rStyle w:val="CommentReference"/>
        </w:rPr>
        <w:annotationRef/>
      </w:r>
      <w:r w:rsidR="00000000">
        <w:t>or more favorable? Gleichzeitig müssten wir dann genau festlegen, was wir damit meinen (so oder so)</w:t>
      </w:r>
    </w:p>
  </w:comment>
  <w:comment w:id="19" w:author="Urte Scholz" w:date="2026-02-11T08:48:00Z" w:initials="DC">
    <w:p w14:paraId="00000012" w14:textId="77777777" w:rsidR="00D24F6D" w:rsidRDefault="00D13930">
      <w:r>
        <w:rPr>
          <w:rStyle w:val="CommentReference"/>
        </w:rPr>
        <w:annotationRef/>
      </w:r>
      <w:r w:rsidR="00000000">
        <w:t>hier auch: bitte für einen Begriff entscheiden, das ist so echt schwierig. Beide Begriffe sind weiter oben noch nicht aufgetaucht. Ich würde den nehmen, der in der Literatur im Zusammenhang mit dem person-as-context geläufiger ist.</w:t>
      </w:r>
    </w:p>
  </w:comment>
  <w:comment w:id="20" w:author="Pascal Küng" w:date="2026-02-11T15:36:00Z" w:initials="DC">
    <w:p w14:paraId="00000013" w14:textId="77777777" w:rsidR="00D24F6D" w:rsidRDefault="00D13930">
      <w:r>
        <w:rPr>
          <w:rStyle w:val="CommentReference"/>
        </w:rPr>
        <w:annotationRef/>
      </w:r>
      <w:r w:rsidR="00000000">
        <w:t>Genau, hier ging es mir auch eher darum, dass man beim lesen nachvollziehen kann, warum wir denn diese Zusammenhänge annehmen. Im Paper kommt das natürlich weg und wird alles hergeleitet. Ich habe mal nur einen Begriff gewählt. Wir können es aber natürlich schon auch weglassen.</w:t>
      </w:r>
    </w:p>
  </w:comment>
  <w:comment w:id="21" w:author="Urte Scholz" w:date="2026-02-11T08:55:00Z" w:initials="DC">
    <w:p w14:paraId="00000014" w14:textId="77777777" w:rsidR="00D24F6D" w:rsidRDefault="00D13930">
      <w:r>
        <w:rPr>
          <w:rStyle w:val="CommentReference"/>
        </w:rPr>
        <w:annotationRef/>
      </w:r>
      <w:r w:rsidR="00000000">
        <w:t>noch ein Kommentar: diesen Zusatz hier könntest Du auch einfach ganz löschen, es reicht ja dyadic mean, wobei das climate, das Du oben beschreibst, jetzt hier gar nicht mehr vorkommt</w:t>
      </w:r>
    </w:p>
  </w:comment>
  <w:comment w:id="22" w:author="Urte Scholz" w:date="2026-02-11T08:54:00Z" w:initials="DC">
    <w:p w14:paraId="00000015" w14:textId="77777777" w:rsidR="00D24F6D" w:rsidRDefault="00D13930">
      <w:r>
        <w:rPr>
          <w:rStyle w:val="CommentReference"/>
        </w:rPr>
        <w:annotationRef/>
      </w:r>
      <w:r w:rsidR="00000000">
        <w:t>Nochmal generell: wenn wir die ganze Zeit verschiedene Begriffe für das gleiche benutzen, dann erscheint das sehr unentschieden und nicht sehr verortet in der Literatur. Es geht ja um möglichst hohe Präzision bei der Wahl der Begrifflichkeiten. Mir ist schon klar, dass das genau dem geschuldet ist, dass wir hier neue Sachen machen und es eben verschiedene Begriffe dafür geben könnte. Aber trotzdem sollten wir uns entscheiden und damit auch positionieren. Notfalls weichen wir im Paper dann von den Begriffen in der Präregistrierung nochmal ab, da eine ausführliche Diskussion über diese zentralen Begriffe jetzt eben nicht möglich ist. Trotzdem hier bitte jeweils für einen entscheiden.</w:t>
      </w:r>
    </w:p>
  </w:comment>
  <w:comment w:id="23" w:author="Urte Scholz" w:date="2026-02-11T08:56:00Z" w:initials="DC">
    <w:p w14:paraId="00000024" w14:textId="77777777" w:rsidR="00D24F6D" w:rsidRDefault="00D13930">
      <w:r>
        <w:rPr>
          <w:rStyle w:val="CommentReference"/>
        </w:rPr>
        <w:annotationRef/>
      </w:r>
      <w:r w:rsidR="00000000">
        <w:t>dito. Gilt für alle nachfolgenden, ich kommentiere jetzt nicht mehr</w:t>
      </w:r>
    </w:p>
  </w:comment>
  <w:comment w:id="24" w:author="Urte Scholz" w:date="2026-02-11T08:58:00Z" w:initials="DC">
    <w:p w14:paraId="00000017" w14:textId="77777777" w:rsidR="00D24F6D" w:rsidRDefault="00D13930">
      <w:r>
        <w:rPr>
          <w:rStyle w:val="CommentReference"/>
        </w:rPr>
        <w:annotationRef/>
      </w:r>
      <w:r w:rsidR="00000000">
        <w:t>das muss natürlich drin bleiben</w:t>
      </w:r>
    </w:p>
  </w:comment>
  <w:comment w:id="25" w:author="Urte Scholz" w:date="2026-02-11T09:00:00Z" w:initials="DC">
    <w:p w14:paraId="0000001E" w14:textId="77777777" w:rsidR="00D24F6D" w:rsidRDefault="00D13930">
      <w:r>
        <w:rPr>
          <w:rStyle w:val="CommentReference"/>
        </w:rPr>
        <w:annotationRef/>
      </w:r>
      <w:r w:rsidR="00000000">
        <w:t>kommt hier zum ersten Mal bei den Hypothesen</w:t>
      </w:r>
    </w:p>
  </w:comment>
  <w:comment w:id="28" w:author="Urte Scholz" w:date="2026-02-11T09:03:00Z" w:initials="DC">
    <w:p w14:paraId="00000016" w14:textId="77777777" w:rsidR="00D24F6D" w:rsidRDefault="00D13930">
      <w:r>
        <w:rPr>
          <w:rStyle w:val="CommentReference"/>
        </w:rPr>
        <w:annotationRef/>
      </w:r>
      <w:r w:rsidR="00000000">
        <w:t>:-)</w:t>
      </w:r>
    </w:p>
  </w:comment>
  <w:comment w:id="41" w:author="Urte Scholz" w:date="2026-02-06T14:30:00Z" w:initials="DC">
    <w:p w14:paraId="00000032" w14:textId="77777777" w:rsidR="00D24F6D" w:rsidRDefault="00D13930">
      <w:r>
        <w:rPr>
          <w:rStyle w:val="CommentReference"/>
        </w:rPr>
        <w:annotationRef/>
      </w:r>
      <w:r w:rsidR="00000000">
        <w:t>seems a bit too optimistic, right?</w:t>
      </w:r>
    </w:p>
  </w:comment>
  <w:comment w:id="42" w:author="Patrick Höhener" w:date="2026-02-09T11:59:00Z" w:initials="DC">
    <w:p w14:paraId="00000033" w14:textId="77777777" w:rsidR="00D24F6D" w:rsidRDefault="00D13930">
      <w:r>
        <w:rPr>
          <w:rStyle w:val="CommentReference"/>
        </w:rPr>
        <w:annotationRef/>
      </w:r>
      <w:r w:rsidR="00000000">
        <w:t>150 seems possible to me.</w:t>
      </w:r>
    </w:p>
  </w:comment>
  <w:comment w:id="43" w:author="Pascal Küng" w:date="2026-02-09T15:50:00Z" w:initials="DC">
    <w:p w14:paraId="6D38A230" w14:textId="77777777" w:rsidR="00D24F6D" w:rsidRDefault="00D13930">
      <w:r>
        <w:rPr>
          <w:rStyle w:val="CommentReference"/>
        </w:rPr>
        <w:annotationRef/>
      </w:r>
      <w:r w:rsidR="00000000">
        <w:t>I created a quick function that checks how many couples we currently have, with daily diaries available for n specified days. Currently:</w:t>
      </w:r>
    </w:p>
    <w:p w14:paraId="30B2F324" w14:textId="77777777" w:rsidR="00D24F6D" w:rsidRDefault="00000000">
      <w:r>
        <w:t>102 dyads with 10 usable days</w:t>
      </w:r>
    </w:p>
    <w:p w14:paraId="5C266E8A" w14:textId="77777777" w:rsidR="00D24F6D" w:rsidRDefault="00000000">
      <w:r>
        <w:t>93 dyads with 20 usable days</w:t>
      </w:r>
    </w:p>
    <w:p w14:paraId="496B8264" w14:textId="77777777" w:rsidR="00D24F6D" w:rsidRDefault="00000000">
      <w:r>
        <w:t>89 dyads with 89 usable days</w:t>
      </w:r>
    </w:p>
    <w:p w14:paraId="3C762380" w14:textId="77777777" w:rsidR="00D24F6D" w:rsidRDefault="00000000">
      <w:r>
        <w:t>79 dyads with 30 usable days</w:t>
      </w:r>
    </w:p>
    <w:p w14:paraId="1B3CB1EE" w14:textId="77777777" w:rsidR="00D24F6D" w:rsidRDefault="00000000">
      <w:r>
        <w:t>59 dyads with 40 usable days</w:t>
      </w:r>
    </w:p>
    <w:p w14:paraId="0000003C" w14:textId="77777777" w:rsidR="00D24F6D" w:rsidRDefault="00000000">
      <w:r>
        <w:t>So I would now also say, we 150 might be too optimistic for the power analyses. I will re-run with 120 now, or even 100, although this might take too long before we have to finish the preregistration.</w:t>
      </w:r>
    </w:p>
  </w:comment>
  <w:comment w:id="40" w:author="codex" w:initials="DC">
    <w:p w14:paraId="0282B56E" w14:textId="77777777" w:rsidR="00D24F6D" w:rsidRDefault="00D13930">
      <w:r>
        <w:rPr>
          <w:rStyle w:val="CommentReference"/>
        </w:rPr>
        <w:annotationRef/>
      </w:r>
      <w:r w:rsidR="00000000">
        <w:t>To finalize this section, I suggest one explicit wording decision: keep "parent-project target = 250 couples" but label this preregistered paper's expected analyzable range separately (currently 100–150, with open question whether upper bound should be reduced). Right now both are in one sentence and can be read as conflicting targets.</w:t>
      </w:r>
    </w:p>
  </w:comment>
  <w:comment w:id="39" w:author="codex" w:initials="DC">
    <w:p w14:paraId="6B76F8C0" w14:textId="77777777" w:rsidR="00D24F6D" w:rsidRDefault="00D13930">
      <w:r>
        <w:rPr>
          <w:rStyle w:val="CommentReference"/>
        </w:rPr>
        <w:annotationRef/>
      </w:r>
      <w:r w:rsidR="00000000">
        <w:t>I aligned the text with the power scripts by explicitly retaining the parent-project target (250 couples) while defining this paper's power bounds as N = 100 and N = 150.</w:t>
      </w:r>
    </w:p>
  </w:comment>
  <w:comment w:id="45" w:author="Pascal Küng" w:date="2026-02-10T20:41:00Z" w:initials="DC">
    <w:p w14:paraId="00000020" w14:textId="77777777" w:rsidR="00D24F6D" w:rsidRDefault="00D13930">
      <w:r>
        <w:rPr>
          <w:rStyle w:val="CommentReference"/>
        </w:rPr>
        <w:annotationRef/>
      </w:r>
      <w:r w:rsidR="00000000">
        <w:t>@Urte power analyses for N = 100 are still running, and unfortunately they take days. So I am not sure, if they finish in time for the preregistration, which would be a bit of a pitty. But in that case, I suggest to remove the red text here, and add a power analysis section under the Analysis/Models section (as a first step before the factor analysis etc.) As long as we clarify that the power simulations are based on the pilot data only, I believe this should not be an issue and still highly informative for the final study. Potentially, then we could even use the exact final sample size to re-run the power analyses later (while still using the sample data to avoid circular conclusions). I have inserted such a power-analysis section below, also in red.</w:t>
      </w:r>
    </w:p>
  </w:comment>
  <w:comment w:id="46" w:author="Urte Scholz" w:date="2026-02-11T09:10:00Z" w:initials="DC">
    <w:p w14:paraId="00000021" w14:textId="77777777" w:rsidR="00D24F6D" w:rsidRDefault="00D13930">
      <w:r>
        <w:rPr>
          <w:rStyle w:val="CommentReference"/>
        </w:rPr>
        <w:annotationRef/>
      </w:r>
      <w:r w:rsidR="00000000">
        <w:t>finde ich gut</w:t>
      </w:r>
    </w:p>
  </w:comment>
  <w:comment w:id="48" w:author="Urte Scholz" w:date="2026-02-06T14:37:00Z" w:initials="DC">
    <w:p w14:paraId="0000002E" w14:textId="77777777" w:rsidR="00D24F6D" w:rsidRDefault="00D13930">
      <w:r>
        <w:rPr>
          <w:rStyle w:val="CommentReference"/>
        </w:rPr>
        <w:annotationRef/>
      </w:r>
      <w:r w:rsidR="00000000">
        <w:t>have we already decided to stop in June? Maybe just say "or if the study is terminated due to funding-related time constraints". If we use this more general information (which I prefer), we need to adjust this somewhere earlier in this preregistration as well</w:t>
      </w:r>
    </w:p>
  </w:comment>
  <w:comment w:id="49" w:author="Pascal Küng" w:date="2026-02-06T19:02:00Z" w:initials="DC">
    <w:p w14:paraId="0000002F" w14:textId="77777777" w:rsidR="00D24F6D" w:rsidRDefault="00D13930">
      <w:r>
        <w:rPr>
          <w:rStyle w:val="CommentReference"/>
        </w:rPr>
        <w:annotationRef/>
      </w:r>
      <w:r w:rsidR="00000000">
        <w:t>good question, I though we have to stop in june because the "kostenneutrale Verlängerung" will be over soon after?</w:t>
      </w:r>
    </w:p>
  </w:comment>
  <w:comment w:id="50" w:author="Patrick Höhener" w:date="2026-02-09T12:51:00Z" w:initials="DC">
    <w:p w14:paraId="00000030" w14:textId="77777777" w:rsidR="00D24F6D" w:rsidRDefault="00D13930">
      <w:r>
        <w:rPr>
          <w:rStyle w:val="CommentReference"/>
        </w:rPr>
        <w:annotationRef/>
      </w:r>
      <w:r w:rsidR="00000000">
        <w:t>If I remember correctly, we need to stop in the of July. I thought that the diary phase should be done then. So that we recruit until the end of May. If we would need to take the Follow-up questionnaire as endpoint, we have to already stop recruiting in February.</w:t>
      </w:r>
    </w:p>
  </w:comment>
  <w:comment w:id="51" w:author="Urte Scholz" w:date="2026-02-11T09:11:00Z" w:initials="DC">
    <w:p w14:paraId="00000031" w14:textId="77777777" w:rsidR="00D24F6D" w:rsidRDefault="00D13930">
      <w:r>
        <w:rPr>
          <w:rStyle w:val="CommentReference"/>
        </w:rPr>
        <w:annotationRef/>
      </w:r>
      <w:r w:rsidR="00000000">
        <w:t>Wir können ja summer 2026 schreiben, das lässt uns noch ein paar Freiheitsgrade offen. Ich finde nicht, dass wir uns hier jetzt notwendigerweise festlegen müssen und das wollten wir ja nächste Woche noch diskutieren.</w:t>
      </w:r>
    </w:p>
  </w:comment>
  <w:comment w:id="55" w:author="Patrick Höhener" w:date="2026-02-09T12:59:00Z" w:initials="DC">
    <w:p w14:paraId="0000002A" w14:textId="77777777" w:rsidR="00D24F6D" w:rsidRDefault="00D13930">
      <w:r>
        <w:rPr>
          <w:rStyle w:val="CommentReference"/>
        </w:rPr>
        <w:annotationRef/>
      </w:r>
      <w:r w:rsidR="00000000">
        <w:t>Which source do you plan to use to determine if there was a plan? The planning intervention or the responses from the daily and EMA questionnaires? If you use the plans from the daily and EMA questionnaire, I would include the plans only as a sensitivity analysis (if even). Because these plans can be quite spontaneous and may emerge only after social control has taken place.</w:t>
      </w:r>
    </w:p>
  </w:comment>
  <w:comment w:id="56" w:author="Pascal Küng" w:date="2026-02-09T15:53:00Z" w:initials="DC">
    <w:p w14:paraId="0000002B" w14:textId="77777777" w:rsidR="00D24F6D" w:rsidRDefault="00D13930">
      <w:r>
        <w:rPr>
          <w:rStyle w:val="CommentReference"/>
        </w:rPr>
        <w:annotationRef/>
      </w:r>
      <w:r w:rsidR="00000000">
        <w:t>I think I will build it from the daily questionnaire "post hoc" from the items "today I was inactive despite having a plan, due to not having a plan / active according to plan…. etc." I will add this under indices.</w:t>
      </w:r>
    </w:p>
  </w:comment>
  <w:comment w:id="57" w:author="Pascal Küng" w:date="2026-02-11T00:09:00Z" w:initials="DC">
    <w:p w14:paraId="0000002C" w14:textId="77777777" w:rsidR="00D24F6D" w:rsidRDefault="00D13930">
      <w:r>
        <w:rPr>
          <w:rStyle w:val="CommentReference"/>
        </w:rPr>
        <w:annotationRef/>
      </w:r>
      <w:r w:rsidR="00000000">
        <w:t>alternatively, we could use the actual plans. Because I do think it is important to control for plans in the main models, as plans may impact MVPA and also whether social control is used.</w:t>
      </w:r>
    </w:p>
  </w:comment>
  <w:comment w:id="58" w:author="Pascal Küng" w:date="2026-02-10T21:06:00Z" w:initials="DC">
    <w:p w14:paraId="0000002D" w14:textId="77777777" w:rsidR="00D24F6D" w:rsidRDefault="00D13930">
      <w:r>
        <w:rPr>
          <w:rStyle w:val="CommentReference"/>
        </w:rPr>
        <w:annotationRef/>
      </w:r>
      <w:r w:rsidR="00000000">
        <w:t>I think this item would likely not include very spontaneous plans, what do you think @Patrick Höhener ?</w:t>
      </w:r>
    </w:p>
  </w:comment>
  <w:comment w:id="62" w:author="Patrick Höhener" w:date="2026-02-09T13:17:00Z" w:initials="DC">
    <w:p w14:paraId="00000026" w14:textId="77777777" w:rsidR="00D24F6D" w:rsidRDefault="00D13930">
      <w:r>
        <w:rPr>
          <w:rStyle w:val="CommentReference"/>
        </w:rPr>
        <w:annotationRef/>
      </w:r>
      <w:r w:rsidR="00000000">
        <w:t>This may be perceived as a break in logic. You validate the factors in a latent framework but then continue to use manifest scores.</w:t>
      </w:r>
    </w:p>
  </w:comment>
  <w:comment w:id="63" w:author="Urte Scholz" w:date="2026-02-11T09:17:00Z" w:initials="DC">
    <w:p w14:paraId="00000027" w14:textId="77777777" w:rsidR="00D24F6D" w:rsidRDefault="00D13930">
      <w:r>
        <w:rPr>
          <w:rStyle w:val="CommentReference"/>
        </w:rPr>
        <w:annotationRef/>
      </w:r>
      <w:r w:rsidR="00000000">
        <w:t>I think this is ok</w:t>
      </w:r>
    </w:p>
  </w:comment>
  <w:comment w:id="64" w:author="Pascal Küng" w:date="2026-02-10T20:44:00Z" w:initials="DC">
    <w:p w14:paraId="00000028" w14:textId="77777777" w:rsidR="00D24F6D" w:rsidRDefault="00D13930">
      <w:r>
        <w:rPr>
          <w:rStyle w:val="CommentReference"/>
        </w:rPr>
        <w:annotationRef/>
      </w:r>
      <w:r w:rsidR="00000000">
        <w:t>Again, we are not thoroughly evaluating a new scale, we just want to have some pre-defined decision rules guiding whether we can sensibly use the middle items, or not. :)</w:t>
      </w:r>
    </w:p>
  </w:comment>
  <w:comment w:id="65" w:author="Pascal Küng" w:date="2026-02-10T15:26:00Z" w:initials="DC">
    <w:p w14:paraId="00000029" w14:textId="77777777" w:rsidR="00D24F6D" w:rsidRDefault="00D13930">
      <w:r>
        <w:rPr>
          <w:rStyle w:val="CommentReference"/>
        </w:rPr>
        <w:annotationRef/>
      </w:r>
      <w:r w:rsidR="00000000">
        <w:t>Yes, I also thought about this. However, since we expect a latent factor on the between-person level but not necessarily on the within-person level (more so additive), but we need daily scores, i think this is preferable, right?</w:t>
      </w:r>
    </w:p>
  </w:comment>
  <w:comment w:id="67" w:author="pascalkueng" w:date="2026-02-15T17:54:00Z" w:initials="DC">
    <w:p w14:paraId="00000001" w14:textId="77777777" w:rsidR="00D24F6D" w:rsidRDefault="00D13930">
      <w:r>
        <w:rPr>
          <w:rStyle w:val="CommentReference"/>
        </w:rPr>
        <w:annotationRef/>
      </w:r>
      <w:r w:rsidR="00000000">
        <w:t>@codex, is this correct, and easily understandable? anything you would change?</w:t>
      </w:r>
    </w:p>
  </w:comment>
  <w:comment w:id="66" w:author="codex" w:initials="DC">
    <w:p w14:paraId="4E31DC02" w14:textId="77777777" w:rsidR="00D24F6D" w:rsidRDefault="00D13930">
      <w:r>
        <w:rPr>
          <w:rStyle w:val="CommentReference"/>
        </w:rPr>
        <w:annotationRef/>
      </w:r>
      <w:r w:rsidR="00000000">
        <w:t>I made a wording pass to improve clarity and precision without changing the substantive plan. I removed "potentially only Appendix" (now "reported in Supplementary Materials/Appendix if needed"), replaced "Escalation Ladder" with neutral terminology, clarified what "supported" means (approximately monotonic item ordering on a latent continuum), and separated the two exploratory summaries (overall intensity vs orientation/polarity) into explicit bullets.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22" w15:done="0"/>
  <w15:commentEx w15:paraId="00000023" w15:paraIdParent="00000022" w15:done="0"/>
  <w15:commentEx w15:paraId="104BB3D9" w15:done="0"/>
  <w15:commentEx w15:paraId="0000001F" w15:done="0"/>
  <w15:commentEx w15:paraId="00000025" w15:done="0"/>
  <w15:commentEx w15:paraId="00000010" w15:done="0"/>
  <w15:commentEx w15:paraId="00000011" w15:paraIdParent="00000010" w15:done="0"/>
  <w15:commentEx w15:paraId="433F44A1" w15:done="0"/>
  <w15:commentEx w15:paraId="00000002" w15:done="0"/>
  <w15:commentEx w15:paraId="00000003" w15:paraIdParent="00000002" w15:done="0"/>
  <w15:commentEx w15:paraId="0000001C" w15:done="0"/>
  <w15:commentEx w15:paraId="0000001D" w15:paraIdParent="0000001C" w15:done="0"/>
  <w15:commentEx w15:paraId="0000001B" w15:done="0"/>
  <w15:commentEx w15:paraId="00000018" w15:done="0"/>
  <w15:commentEx w15:paraId="00000019" w15:paraIdParent="00000018" w15:done="0"/>
  <w15:commentEx w15:paraId="0000001A" w15:paraIdParent="00000018" w15:done="0"/>
  <w15:commentEx w15:paraId="00000012" w15:done="0"/>
  <w15:commentEx w15:paraId="00000013" w15:paraIdParent="00000012" w15:done="0"/>
  <w15:commentEx w15:paraId="00000014" w15:paraIdParent="00000012" w15:done="0"/>
  <w15:commentEx w15:paraId="00000015" w15:paraIdParent="00000012" w15:done="0"/>
  <w15:commentEx w15:paraId="00000024" w15:done="0"/>
  <w15:commentEx w15:paraId="00000017" w15:done="0"/>
  <w15:commentEx w15:paraId="0000001E" w15:done="0"/>
  <w15:commentEx w15:paraId="00000016" w15:done="0"/>
  <w15:commentEx w15:paraId="00000032" w15:done="0"/>
  <w15:commentEx w15:paraId="00000033" w15:paraIdParent="00000032" w15:done="0"/>
  <w15:commentEx w15:paraId="0000003C" w15:paraIdParent="00000032" w15:done="0"/>
  <w15:commentEx w15:paraId="0282B56E" w15:done="0"/>
  <w15:commentEx w15:paraId="6B76F8C0" w15:done="0"/>
  <w15:commentEx w15:paraId="00000020" w15:done="0"/>
  <w15:commentEx w15:paraId="00000021" w15:paraIdParent="00000020" w15:done="0"/>
  <w15:commentEx w15:paraId="0000002E" w15:done="0"/>
  <w15:commentEx w15:paraId="0000002F" w15:paraIdParent="0000002E" w15:done="0"/>
  <w15:commentEx w15:paraId="00000030" w15:paraIdParent="0000002E" w15:done="0"/>
  <w15:commentEx w15:paraId="00000031" w15:paraIdParent="0000002E" w15:done="0"/>
  <w15:commentEx w15:paraId="0000002A" w15:done="0"/>
  <w15:commentEx w15:paraId="0000002B" w15:paraIdParent="0000002A" w15:done="0"/>
  <w15:commentEx w15:paraId="0000002C" w15:paraIdParent="0000002A" w15:done="0"/>
  <w15:commentEx w15:paraId="0000002D" w15:paraIdParent="0000002A" w15:done="0"/>
  <w15:commentEx w15:paraId="00000026" w15:done="0"/>
  <w15:commentEx w15:paraId="00000027" w15:paraIdParent="00000026" w15:done="0"/>
  <w15:commentEx w15:paraId="00000028" w15:paraIdParent="00000026" w15:done="0"/>
  <w15:commentEx w15:paraId="00000029" w15:paraIdParent="00000026" w15:done="0"/>
  <w15:commentEx w15:paraId="00000001" w15:done="0"/>
  <w15:commentEx w15:paraId="4E31DC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C86628" w16cex:dateUtc="2026-02-11T08:09:00Z"/>
  <w16cex:commentExtensible w16cex:durableId="08AD66BF" w16cex:dateUtc="2026-02-11T15:39:00Z"/>
  <w16cex:commentExtensible w16cex:durableId="47AB4CEC" w16cex:dateUtc="2026-02-11T08:11:00Z"/>
  <w16cex:commentExtensible w16cex:durableId="6D2F5BED" w16cex:dateUtc="2026-02-11T08:20:00Z"/>
  <w16cex:commentExtensible w16cex:durableId="4069A518" w16cex:dateUtc="2026-02-11T08:32:00Z"/>
  <w16cex:commentExtensible w16cex:durableId="0A12C1F5" w16cex:dateUtc="2026-02-11T15:59:00Z"/>
  <w16cex:commentExtensible w16cex:durableId="1233F16C" w16cex:dateUtc="2026-02-11T13:25:00Z"/>
  <w16cex:commentExtensible w16cex:durableId="119DE38F" w16cex:dateUtc="2026-02-12T01:24:00Z"/>
  <w16cex:commentExtensible w16cex:durableId="7815925D" w16cex:dateUtc="2026-02-10T19:13:00Z"/>
  <w16cex:commentExtensible w16cex:durableId="5C38B876" w16cex:dateUtc="2026-02-11T08:34:00Z"/>
  <w16cex:commentExtensible w16cex:durableId="381DBF3D" w16cex:dateUtc="2026-02-11T08:44:00Z"/>
  <w16cex:commentExtensible w16cex:durableId="54E87B2B" w16cex:dateUtc="2026-02-10T19:44:00Z"/>
  <w16cex:commentExtensible w16cex:durableId="1AA36EF9" w16cex:dateUtc="2026-02-11T15:35:00Z"/>
  <w16cex:commentExtensible w16cex:durableId="26FEA204" w16cex:dateUtc="2026-02-11T08:46:00Z"/>
  <w16cex:commentExtensible w16cex:durableId="6370C0BF" w16cex:dateUtc="2026-02-11T08:48:00Z"/>
  <w16cex:commentExtensible w16cex:durableId="7CB3A4D9" w16cex:dateUtc="2026-02-11T15:36:00Z"/>
  <w16cex:commentExtensible w16cex:durableId="27755D48" w16cex:dateUtc="2026-02-11T08:55:00Z"/>
  <w16cex:commentExtensible w16cex:durableId="24D65922" w16cex:dateUtc="2026-02-11T08:54:00Z"/>
  <w16cex:commentExtensible w16cex:durableId="33C3B4FC" w16cex:dateUtc="2026-02-11T08:56:00Z"/>
  <w16cex:commentExtensible w16cex:durableId="6246CADD" w16cex:dateUtc="2026-02-11T08:58:00Z"/>
  <w16cex:commentExtensible w16cex:durableId="067B2C42" w16cex:dateUtc="2026-02-11T09:00:00Z"/>
  <w16cex:commentExtensible w16cex:durableId="354012DE" w16cex:dateUtc="2026-02-11T09:03:00Z"/>
  <w16cex:commentExtensible w16cex:durableId="155726C5" w16cex:dateUtc="2026-02-06T14:30:00Z"/>
  <w16cex:commentExtensible w16cex:durableId="3B8DC85A" w16cex:dateUtc="2026-02-09T11:59:00Z"/>
  <w16cex:commentExtensible w16cex:durableId="0208D56D" w16cex:dateUtc="2026-02-09T15:50:00Z"/>
  <w16cex:commentExtensible w16cex:durableId="38484E5D" w16cex:dateUtc="2026-02-10T20:41:00Z"/>
  <w16cex:commentExtensible w16cex:durableId="3B7D38FD" w16cex:dateUtc="2026-02-11T09:10:00Z"/>
  <w16cex:commentExtensible w16cex:durableId="2DBC8790" w16cex:dateUtc="2026-02-06T14:37:00Z"/>
  <w16cex:commentExtensible w16cex:durableId="6405289A" w16cex:dateUtc="2026-02-06T19:02:00Z"/>
  <w16cex:commentExtensible w16cex:durableId="1B9D114A" w16cex:dateUtc="2026-02-09T12:51:00Z"/>
  <w16cex:commentExtensible w16cex:durableId="55E71DB1" w16cex:dateUtc="2026-02-11T09:11:00Z"/>
  <w16cex:commentExtensible w16cex:durableId="261909B9" w16cex:dateUtc="2026-02-09T12:59:00Z"/>
  <w16cex:commentExtensible w16cex:durableId="45A62CDA" w16cex:dateUtc="2026-02-09T15:53:00Z"/>
  <w16cex:commentExtensible w16cex:durableId="0C8BD870" w16cex:dateUtc="2026-02-11T00:09:00Z"/>
  <w16cex:commentExtensible w16cex:durableId="6453E252" w16cex:dateUtc="2026-02-10T21:06:00Z"/>
  <w16cex:commentExtensible w16cex:durableId="4CD83F64" w16cex:dateUtc="2026-02-09T13:17:00Z"/>
  <w16cex:commentExtensible w16cex:durableId="0FA6CCF1" w16cex:dateUtc="2026-02-11T09:17:00Z"/>
  <w16cex:commentExtensible w16cex:durableId="5AD53B6F" w16cex:dateUtc="2026-02-10T20:44:00Z"/>
  <w16cex:commentExtensible w16cex:durableId="52C967E6" w16cex:dateUtc="2026-02-10T15:26:00Z"/>
  <w16cex:commentExtensible w16cex:durableId="211FDD8C" w16cex:dateUtc="2026-02-15T17: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22" w16cid:durableId="4AC86628"/>
  <w16cid:commentId w16cid:paraId="00000023" w16cid:durableId="08AD66BF"/>
  <w16cid:commentId w16cid:paraId="104BB3D9" w16cid:durableId="104BB3D9"/>
  <w16cid:commentId w16cid:paraId="0000001F" w16cid:durableId="47AB4CEC"/>
  <w16cid:commentId w16cid:paraId="00000025" w16cid:durableId="6D2F5BED"/>
  <w16cid:commentId w16cid:paraId="00000010" w16cid:durableId="4069A518"/>
  <w16cid:commentId w16cid:paraId="00000011" w16cid:durableId="0A12C1F5"/>
  <w16cid:commentId w16cid:paraId="433F44A1" w16cid:durableId="433F44A1"/>
  <w16cid:commentId w16cid:paraId="00000002" w16cid:durableId="1233F16C"/>
  <w16cid:commentId w16cid:paraId="00000003" w16cid:durableId="119DE38F"/>
  <w16cid:commentId w16cid:paraId="0000001C" w16cid:durableId="7815925D"/>
  <w16cid:commentId w16cid:paraId="0000001D" w16cid:durableId="5C38B876"/>
  <w16cid:commentId w16cid:paraId="0000001B" w16cid:durableId="381DBF3D"/>
  <w16cid:commentId w16cid:paraId="00000018" w16cid:durableId="54E87B2B"/>
  <w16cid:commentId w16cid:paraId="00000019" w16cid:durableId="1AA36EF9"/>
  <w16cid:commentId w16cid:paraId="0000001A" w16cid:durableId="26FEA204"/>
  <w16cid:commentId w16cid:paraId="00000012" w16cid:durableId="6370C0BF"/>
  <w16cid:commentId w16cid:paraId="00000013" w16cid:durableId="7CB3A4D9"/>
  <w16cid:commentId w16cid:paraId="00000014" w16cid:durableId="27755D48"/>
  <w16cid:commentId w16cid:paraId="00000015" w16cid:durableId="24D65922"/>
  <w16cid:commentId w16cid:paraId="00000024" w16cid:durableId="33C3B4FC"/>
  <w16cid:commentId w16cid:paraId="00000017" w16cid:durableId="6246CADD"/>
  <w16cid:commentId w16cid:paraId="0000001E" w16cid:durableId="067B2C42"/>
  <w16cid:commentId w16cid:paraId="00000016" w16cid:durableId="354012DE"/>
  <w16cid:commentId w16cid:paraId="00000032" w16cid:durableId="155726C5"/>
  <w16cid:commentId w16cid:paraId="00000033" w16cid:durableId="3B8DC85A"/>
  <w16cid:commentId w16cid:paraId="0000003C" w16cid:durableId="0208D56D"/>
  <w16cid:commentId w16cid:paraId="0282B56E" w16cid:durableId="0282B56E"/>
  <w16cid:commentId w16cid:paraId="6B76F8C0" w16cid:durableId="6B76F8C0"/>
  <w16cid:commentId w16cid:paraId="00000020" w16cid:durableId="38484E5D"/>
  <w16cid:commentId w16cid:paraId="00000021" w16cid:durableId="3B7D38FD"/>
  <w16cid:commentId w16cid:paraId="0000002E" w16cid:durableId="2DBC8790"/>
  <w16cid:commentId w16cid:paraId="0000002F" w16cid:durableId="6405289A"/>
  <w16cid:commentId w16cid:paraId="00000030" w16cid:durableId="1B9D114A"/>
  <w16cid:commentId w16cid:paraId="00000031" w16cid:durableId="55E71DB1"/>
  <w16cid:commentId w16cid:paraId="0000002A" w16cid:durableId="261909B9"/>
  <w16cid:commentId w16cid:paraId="0000002B" w16cid:durableId="45A62CDA"/>
  <w16cid:commentId w16cid:paraId="0000002C" w16cid:durableId="0C8BD870"/>
  <w16cid:commentId w16cid:paraId="0000002D" w16cid:durableId="6453E252"/>
  <w16cid:commentId w16cid:paraId="00000026" w16cid:durableId="4CD83F64"/>
  <w16cid:commentId w16cid:paraId="00000027" w16cid:durableId="0FA6CCF1"/>
  <w16cid:commentId w16cid:paraId="00000028" w16cid:durableId="5AD53B6F"/>
  <w16cid:commentId w16cid:paraId="00000029" w16cid:durableId="52C967E6"/>
  <w16cid:commentId w16cid:paraId="00000001" w16cid:durableId="211FDD8C"/>
  <w16cid:commentId w16cid:paraId="4E31DC02" w16cid:durableId="4E31DC0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20F0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86CB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F7C76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97007187">
    <w:abstractNumId w:val="0"/>
  </w:num>
  <w:num w:numId="2" w16cid:durableId="1257519498">
    <w:abstractNumId w:val="1"/>
  </w:num>
  <w:num w:numId="3" w16cid:durableId="624238468">
    <w:abstractNumId w:val="1"/>
  </w:num>
  <w:num w:numId="4" w16cid:durableId="263928981">
    <w:abstractNumId w:val="1"/>
  </w:num>
  <w:num w:numId="5" w16cid:durableId="148525915">
    <w:abstractNumId w:val="1"/>
  </w:num>
  <w:num w:numId="6" w16cid:durableId="1692678244">
    <w:abstractNumId w:val="1"/>
  </w:num>
  <w:num w:numId="7" w16cid:durableId="1804343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8729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130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27155066">
    <w:abstractNumId w:val="1"/>
  </w:num>
  <w:num w:numId="11" w16cid:durableId="1395398730">
    <w:abstractNumId w:val="1"/>
  </w:num>
  <w:num w:numId="12" w16cid:durableId="1347251257">
    <w:abstractNumId w:val="1"/>
  </w:num>
  <w:num w:numId="13" w16cid:durableId="1406025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79315768">
    <w:abstractNumId w:val="1"/>
  </w:num>
  <w:num w:numId="15" w16cid:durableId="992294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95239656">
    <w:abstractNumId w:val="1"/>
  </w:num>
  <w:num w:numId="17" w16cid:durableId="1566910673">
    <w:abstractNumId w:val="1"/>
  </w:num>
  <w:num w:numId="18" w16cid:durableId="1755124956">
    <w:abstractNumId w:val="1"/>
  </w:num>
  <w:num w:numId="19" w16cid:durableId="218785643">
    <w:abstractNumId w:val="1"/>
  </w:num>
  <w:num w:numId="20" w16cid:durableId="1191801538">
    <w:abstractNumId w:val="1"/>
  </w:num>
  <w:num w:numId="21" w16cid:durableId="547760118">
    <w:abstractNumId w:val="1"/>
  </w:num>
  <w:num w:numId="22" w16cid:durableId="1842163542">
    <w:abstractNumId w:val="1"/>
  </w:num>
  <w:num w:numId="23" w16cid:durableId="695471628">
    <w:abstractNumId w:val="1"/>
  </w:num>
  <w:num w:numId="24" w16cid:durableId="383528535">
    <w:abstractNumId w:val="1"/>
  </w:num>
  <w:num w:numId="25" w16cid:durableId="1038431135">
    <w:abstractNumId w:val="1"/>
  </w:num>
  <w:num w:numId="26" w16cid:durableId="1283534621">
    <w:abstractNumId w:val="1"/>
  </w:num>
  <w:num w:numId="27" w16cid:durableId="1026636735">
    <w:abstractNumId w:val="1"/>
  </w:num>
  <w:num w:numId="28" w16cid:durableId="10708066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rte Scholz">
    <w15:presenceInfo w15:providerId="AD" w15:userId="S::urte.scholz@psychologie.uzh.ch::4be1a5a2-2e90-4927-843d-f0f1e7b0d1e9"/>
  </w15:person>
  <w15:person w15:author="Pascal Küng">
    <w15:presenceInfo w15:providerId="AD" w15:userId="S::pascal.kueng@psychologie.uzh.ch::736f8a31-2c3d-433e-9294-30631406f32c"/>
  </w15:person>
  <w15:person w15:author="Robert Tobias">
    <w15:presenceInfo w15:providerId="AD" w15:userId="S::r.tobias@psychologie.uzh.ch::06a65a5a-b0db-4774-9d2b-2abaa50dcc11"/>
  </w15:person>
  <w15:person w15:author="Patrick Höhener">
    <w15:presenceInfo w15:providerId="AD" w15:userId="S::patrick.hoehener@psychologie.uzh.ch::58dd0510-4d00-47a3-b6dc-0b2617db3e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6D"/>
    <w:rsid w:val="00593186"/>
    <w:rsid w:val="00D13930"/>
    <w:rsid w:val="00D24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E6489E-9C68-41B3-A18C-4B506696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doi.org/10.1016/j.socscimed.2011.06.016" TargetMode="External"/><Relationship Id="rId18" Type="http://schemas.openxmlformats.org/officeDocument/2006/relationships/hyperlink" Target="https://doi.org/10.2466/03.27.PMS.120v19x7" TargetMode="External"/><Relationship Id="rId26" Type="http://schemas.openxmlformats.org/officeDocument/2006/relationships/hyperlink" Target="https://doi.org/10.1037/1082-989X.12.2.121" TargetMode="External"/><Relationship Id="rId3" Type="http://schemas.openxmlformats.org/officeDocument/2006/relationships/settings" Target="settings.xml"/><Relationship Id="rId21" Type="http://schemas.openxmlformats.org/officeDocument/2006/relationships/hyperlink" Target="https://doi.org/10.3390/nu16040550" TargetMode="External"/><Relationship Id="rId7" Type="http://schemas.microsoft.com/office/2016/09/relationships/commentsIds" Target="commentsIds.xml"/><Relationship Id="rId12" Type="http://schemas.openxmlformats.org/officeDocument/2006/relationships/hyperlink" Target="https://theactigraph.com/cpiw" TargetMode="External"/><Relationship Id="rId17" Type="http://schemas.openxmlformats.org/officeDocument/2006/relationships/hyperlink" Target="https://theactigraph.com/cpiw" TargetMode="External"/><Relationship Id="rId25" Type="http://schemas.openxmlformats.org/officeDocument/2006/relationships/hyperlink" Target="https://doi.org/10.5281/zenodo.17445176" TargetMode="External"/><Relationship Id="rId2" Type="http://schemas.openxmlformats.org/officeDocument/2006/relationships/styles" Target="styles.xml"/><Relationship Id="rId16" Type="http://schemas.openxmlformats.org/officeDocument/2006/relationships/hyperlink" Target="https://doi.org/10.1002/1097-0258(20001130)19:22%3c3127::AID-SIM784%3e3.0.CO;2-M" TargetMode="External"/><Relationship Id="rId20" Type="http://schemas.openxmlformats.org/officeDocument/2006/relationships/hyperlink" Target="https://doi.org/10.5160/psychdata.srrf91en15" TargetMode="External"/><Relationship Id="rId29"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osf.io/b36f7/overview" TargetMode="External"/><Relationship Id="rId24" Type="http://schemas.openxmlformats.org/officeDocument/2006/relationships/hyperlink" Target="https://mc-stan.org/learn-stan/diagnostics-warnings.html" TargetMode="External"/><Relationship Id="rId5" Type="http://schemas.openxmlformats.org/officeDocument/2006/relationships/comments" Target="comments.xml"/><Relationship Id="rId15" Type="http://schemas.openxmlformats.org/officeDocument/2006/relationships/hyperlink" Target="https://doi.org/10.1080/14768320500183335" TargetMode="External"/><Relationship Id="rId23" Type="http://schemas.openxmlformats.org/officeDocument/2006/relationships/hyperlink" Target="https://mc-stan.org/rstan/reference/Rhat.html" TargetMode="External"/><Relationship Id="rId28" Type="http://schemas.openxmlformats.org/officeDocument/2006/relationships/fontTable" Target="fontTable.xml"/><Relationship Id="rId10" Type="http://schemas.openxmlformats.org/officeDocument/2006/relationships/hyperlink" Target="https://doi.org/10.1080/15427600902911189" TargetMode="External"/><Relationship Id="rId19" Type="http://schemas.openxmlformats.org/officeDocument/2006/relationships/hyperlink" Target="https://doi.org/10.3389/fpsyg.2020.622492" TargetMode="External"/><Relationship Id="rId4" Type="http://schemas.openxmlformats.org/officeDocument/2006/relationships/webSettings" Target="webSettings.xml"/><Relationship Id="rId9" Type="http://schemas.openxmlformats.org/officeDocument/2006/relationships/hyperlink" Target="https://doi.org/10.1186/ISRCTN15673058" TargetMode="External"/><Relationship Id="rId14" Type="http://schemas.openxmlformats.org/officeDocument/2006/relationships/hyperlink" Target="https://doi.org/10.1007/s12160-016-9830-8" TargetMode="External"/><Relationship Id="rId22" Type="http://schemas.openxmlformats.org/officeDocument/2006/relationships/hyperlink" Target="https://doi.org/10.18637/jss.v080.i01" TargetMode="External"/><Relationship Id="rId27" Type="http://schemas.openxmlformats.org/officeDocument/2006/relationships/hyperlink" Target="https://doi.org/10.3389/fpsyg.2019.0276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4294966816</TotalTime>
  <Pages>24</Pages>
  <Words>7409</Words>
  <Characters>42236</Characters>
  <Application>Microsoft Office Word</Application>
  <DocSecurity>0</DocSecurity>
  <Lines>351</Lines>
  <Paragraphs>99</Paragraphs>
  <ScaleCrop>false</ScaleCrop>
  <Company/>
  <LinksUpToDate>false</LinksUpToDate>
  <CharactersWithSpaces>49546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Pascal Küng</dc:creator>
  <cp:keywords/>
  <cp:lastModifiedBy>Pascal Küng</cp:lastModifiedBy>
  <cp:revision>2</cp:revision>
  <dcterms:created xsi:type="dcterms:W3CDTF">2026-02-16T20:11:00Z</dcterms:created>
  <dcterms:modified xsi:type="dcterms:W3CDTF">2026-02-16T20:11:00Z</dcterms:modified>
</cp:coreProperties>
</file>