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4461E"/>
          <w:sz w:val="34"/>
        </w:rPr>
        <w:t>UPA App: Especificación de Requerimientos y Arquitectura</w:t>
      </w:r>
    </w:p>
    <w:p>
      <w:pPr>
        <w:spacing w:after="240"/>
      </w:pPr>
      <w:r>
        <w:rPr>
          <w:rFonts w:ascii="Arial" w:hAnsi="Arial"/>
          <w:i/>
          <w:color w:val="5A5A5A"/>
          <w:sz w:val="20"/>
        </w:rPr>
        <w:t>Documento de Trabajo | Universidad Paraguayo Alemana (UPA)</w:t>
      </w:r>
    </w:p>
    <w:tbl>
      <w:tblPr>
        <w:tblW w:type="auto" w:w="0"/>
        <w:jc w:val="center"/>
        <w:tblLook w:firstColumn="1" w:firstRow="1" w:lastColumn="0" w:lastRow="0" w:noHBand="0" w:noVBand="1" w:val="04A0"/>
      </w:tblPr>
      <w:tblGrid>
        <w:gridCol w:w="4680"/>
        <w:gridCol w:w="4680"/>
      </w:tblGrid>
      <w:tr>
        <w:tc>
          <w:tcPr>
            <w:tcW w:type="dxa" w:w="2880"/>
            <w:shd w:val="clear" w:color="auto" w:fill="F5F7F5"/>
          </w:tcPr>
          <w:p>
            <w:pPr>
              <w:spacing w:after="20"/>
            </w:pPr>
            <w:r>
              <w:rPr>
                <w:b/>
                <w:sz w:val="18"/>
              </w:rPr>
              <w:t>Proyecto:</w:t>
            </w:r>
          </w:p>
        </w:tc>
        <w:tc>
          <w:tcPr>
            <w:tcW w:type="dxa" w:w="6480"/>
            <w:shd w:val="clear" w:color="auto" w:fill="FFFFFF"/>
          </w:tcPr>
          <w:p>
            <w:pPr>
              <w:spacing w:after="20"/>
            </w:pPr>
            <w:r>
              <w:rPr>
                <w:sz w:val="18"/>
              </w:rPr>
              <w:t>UPA App (PWA + Backend FastAPI)</w:t>
            </w:r>
          </w:p>
        </w:tc>
      </w:tr>
      <w:tr>
        <w:tc>
          <w:tcPr>
            <w:tcW w:type="dxa" w:w="2880"/>
            <w:shd w:val="clear" w:color="auto" w:fill="F5F7F5"/>
          </w:tcPr>
          <w:p>
            <w:pPr>
              <w:spacing w:after="20"/>
            </w:pPr>
            <w:r>
              <w:rPr>
                <w:b/>
                <w:sz w:val="18"/>
              </w:rPr>
              <w:t>Product Owner:</w:t>
            </w:r>
          </w:p>
        </w:tc>
        <w:tc>
          <w:tcPr>
            <w:tcW w:type="dxa" w:w="6480"/>
            <w:shd w:val="clear" w:color="auto" w:fill="FFFFFF"/>
          </w:tcPr>
          <w:p>
            <w:pPr>
              <w:spacing w:after="20"/>
            </w:pPr>
            <w:r>
              <w:rPr>
                <w:sz w:val="18"/>
              </w:rPr>
              <w:t>Pascal Thommen</w:t>
            </w:r>
          </w:p>
        </w:tc>
      </w:tr>
      <w:tr>
        <w:tc>
          <w:tcPr>
            <w:tcW w:type="dxa" w:w="2880"/>
            <w:shd w:val="clear" w:color="auto" w:fill="F5F7F5"/>
          </w:tcPr>
          <w:p>
            <w:pPr>
              <w:spacing w:after="20"/>
            </w:pPr>
            <w:r>
              <w:rPr>
                <w:b/>
                <w:sz w:val="18"/>
              </w:rPr>
              <w:t>Equipo de Desarrollo:</w:t>
            </w:r>
          </w:p>
        </w:tc>
        <w:tc>
          <w:tcPr>
            <w:tcW w:type="dxa" w:w="6480"/>
            <w:shd w:val="clear" w:color="auto" w:fill="FFFFFF"/>
          </w:tcPr>
          <w:p>
            <w:pPr>
              <w:spacing w:after="20"/>
            </w:pPr>
            <w:r>
              <w:rPr>
                <w:sz w:val="18"/>
              </w:rPr>
              <w:t>Theresa Bauer, Natasha</w:t>
            </w:r>
          </w:p>
        </w:tc>
      </w:tr>
      <w:tr>
        <w:tc>
          <w:tcPr>
            <w:tcW w:type="dxa" w:w="2880"/>
            <w:shd w:val="clear" w:color="auto" w:fill="F5F7F5"/>
          </w:tcPr>
          <w:p>
            <w:pPr>
              <w:spacing w:after="20"/>
            </w:pPr>
            <w:r>
              <w:rPr>
                <w:b/>
                <w:sz w:val="18"/>
              </w:rPr>
              <w:t>Fecha:</w:t>
            </w:r>
          </w:p>
        </w:tc>
        <w:tc>
          <w:tcPr>
            <w:tcW w:type="dxa" w:w="6480"/>
            <w:shd w:val="clear" w:color="auto" w:fill="FFFFFF"/>
          </w:tcPr>
          <w:p>
            <w:pPr>
              <w:spacing w:after="20"/>
            </w:pPr>
            <w:r>
              <w:rPr>
                <w:sz w:val="18"/>
              </w:rPr>
              <w:t>Octubre 2026</w:t>
            </w:r>
          </w:p>
        </w:tc>
      </w:tr>
    </w:tbl>
    <w:p>
      <w:pPr>
        <w:spacing w:after="160"/>
      </w:pPr>
    </w:p>
    <w:p>
      <w:pPr>
        <w:pStyle w:val="Heading1"/>
      </w:pPr>
      <w:r>
        <w:rPr>
          <w:rFonts w:ascii="Arial" w:hAnsi="Arial"/>
          <w:b/>
          <w:color w:val="14461E"/>
          <w:sz w:val="24"/>
        </w:rPr>
        <w:t>1. Decisiones Tecnologicas Fundamentadas</w:t>
      </w:r>
    </w:p>
    <w:p>
      <w:pPr>
        <w:spacing w:before="80" w:after="20"/>
      </w:pPr>
      <w:r>
        <w:rPr>
          <w:b/>
          <w:color w:val="1E5028"/>
          <w:sz w:val="19"/>
        </w:rPr>
        <w:t>Enfoque PWA (Progressive Web App)</w:t>
      </w:r>
    </w:p>
    <w:p>
      <w:pPr>
        <w:spacing w:after="80"/>
      </w:pPr>
      <w:r>
        <w:rPr>
          <w:sz w:val="18"/>
        </w:rPr>
        <w:t>Aproximadamente el 80% de los estudiantes utiliza iPhone. Desarrollar apps nativas para iOS exige hardware Mac y suscripciones pagas de Apple (99 USD anuales). La PWA se instala directamente desde Safari ('Anadir a pantalla de inicio') sin costo ni burocracia de tiendas. Para Android, el mismo desarrollo puede empaquetarse opcionalmente con Trusted Web Activity (TWA).</w:t>
      </w:r>
    </w:p>
    <w:p>
      <w:pPr>
        <w:spacing w:before="80" w:after="20"/>
      </w:pPr>
      <w:r>
        <w:rPr>
          <w:b/>
          <w:color w:val="1E5028"/>
          <w:sz w:val="19"/>
        </w:rPr>
        <w:t>Integracion de Instagram (@upalemana)</w:t>
      </w:r>
    </w:p>
    <w:p>
      <w:pPr>
        <w:spacing w:after="80"/>
      </w:pPr>
      <w:r>
        <w:rPr>
          <w:sz w:val="18"/>
        </w:rPr>
        <w:t>El departamento de Marketing de la UPA ya utiliza activamente su cuenta oficial de Instagram para publicar avisos y afiches de eventos. Conectar este canal existente mediante SociableKIT evita duplicar trabajo para Marketing y centraliza las noticias en la app.</w:t>
      </w:r>
    </w:p>
    <w:p>
      <w:pPr>
        <w:spacing w:before="80" w:after="20"/>
      </w:pPr>
      <w:r>
        <w:rPr>
          <w:b/>
          <w:color w:val="1E5028"/>
          <w:sz w:val="19"/>
        </w:rPr>
        <w:t>Backend en Python (FastAPI)</w:t>
      </w:r>
    </w:p>
    <w:p>
      <w:pPr>
        <w:spacing w:after="80"/>
      </w:pPr>
      <w:r>
        <w:rPr>
          <w:sz w:val="18"/>
        </w:rPr>
        <w:t>Reduce el codigo base frente a Java Spring Boot, agiliza el desarrollo de endpoints y genera documentacion interactiva OpenAPI automatica en /docs para la coordinacion con el frontend.</w:t>
      </w:r>
    </w:p>
    <w:p>
      <w:pPr>
        <w:spacing w:before="80" w:after="20"/>
      </w:pPr>
      <w:r>
        <w:rPr>
          <w:b/>
          <w:color w:val="1E5028"/>
          <w:sz w:val="19"/>
        </w:rPr>
        <w:t>Autenticacion Google OAuth (@upa.edu.py)</w:t>
      </w:r>
    </w:p>
    <w:p>
      <w:pPr>
        <w:spacing w:after="80"/>
      </w:pPr>
      <w:r>
        <w:rPr>
          <w:sz w:val="18"/>
        </w:rPr>
        <w:t>La UPA opera sobre Google Workspace. Restringir el login a correos institucionales garantiza que solo miembros reales accedan a la informacion interna, elimina la necesidad de servidores de correo propios y permite integrar Google Classroom y grupos de estudio.</w:t>
      </w:r>
    </w:p>
    <w:p>
      <w:pPr>
        <w:pStyle w:val="Heading1"/>
      </w:pPr>
      <w:r>
        <w:rPr>
          <w:rFonts w:ascii="Arial" w:hAnsi="Arial"/>
          <w:b/>
          <w:color w:val="14461E"/>
          <w:sz w:val="24"/>
        </w:rPr>
        <w:t>2. Roles de Usuario en la Plataforma</w:t>
      </w:r>
    </w:p>
    <w:p>
      <w:pPr>
        <w:spacing w:before="80" w:after="20"/>
      </w:pPr>
      <w:r>
        <w:rPr>
          <w:b/>
          <w:color w:val="1E5028"/>
          <w:sz w:val="19"/>
        </w:rPr>
        <w:t>Estudiantes</w:t>
      </w:r>
    </w:p>
    <w:p>
      <w:pPr>
        <w:spacing w:after="80"/>
      </w:pPr>
      <w:r>
        <w:rPr>
          <w:sz w:val="18"/>
        </w:rPr>
        <w:t>Visualizan noticias, avisos urgentes (como suspension de clases por tormenta), eventos con boton de 1 clic para inscribirse y cancelar inscripcion, y calendario sincronizado con Google Classroom.</w:t>
      </w:r>
    </w:p>
    <w:p>
      <w:pPr>
        <w:spacing w:before="80" w:after="20"/>
      </w:pPr>
      <w:r>
        <w:rPr>
          <w:b/>
          <w:color w:val="1E5028"/>
          <w:sz w:val="19"/>
        </w:rPr>
        <w:t>Docentes</w:t>
      </w:r>
    </w:p>
    <w:p>
      <w:pPr>
        <w:spacing w:after="80"/>
      </w:pPr>
      <w:r>
        <w:rPr>
          <w:sz w:val="18"/>
        </w:rPr>
        <w:t>Visualizan fechas de entrega de sus materias y comunicados institucionales.</w:t>
      </w:r>
    </w:p>
    <w:p>
      <w:pPr>
        <w:spacing w:before="80" w:after="20"/>
      </w:pPr>
      <w:r>
        <w:rPr>
          <w:b/>
          <w:color w:val="1E5028"/>
          <w:sz w:val="19"/>
        </w:rPr>
        <w:t>Marketing y Administracion</w:t>
      </w:r>
    </w:p>
    <w:p>
      <w:pPr>
        <w:spacing w:after="80"/>
      </w:pPr>
      <w:r>
        <w:rPr>
          <w:sz w:val="18"/>
        </w:rPr>
        <w:t>Gestionan publicaciones y eventos desde el portal web de escritorio, vinculan contenidos al calendario y definen la segmentacion de destinatarios mediante grupos de Google Workspace.</w:t>
      </w:r>
    </w:p>
    <w:p>
      <w:pPr>
        <w:spacing w:before="80" w:after="20"/>
      </w:pPr>
      <w:r>
        <w:rPr>
          <w:b/>
          <w:color w:val="1E5028"/>
          <w:sz w:val="19"/>
        </w:rPr>
        <w:t>Usuarios Externos</w:t>
      </w:r>
    </w:p>
    <w:p>
      <w:pPr>
        <w:spacing w:after="80"/>
      </w:pPr>
      <w:r>
        <w:rPr>
          <w:sz w:val="18"/>
        </w:rPr>
        <w:t>Acceso bloqueado por el inicio de sesion institucional obligatorio.</w:t>
      </w:r>
    </w:p>
    <w:p>
      <w:pPr>
        <w:pStyle w:val="Heading1"/>
      </w:pPr>
      <w:r>
        <w:rPr>
          <w:rFonts w:ascii="Arial" w:hAnsi="Arial"/>
          <w:b/>
          <w:color w:val="14461E"/>
          <w:sz w:val="24"/>
        </w:rPr>
        <w:t>3. Soporte Offline (Prevencion de Pantalla en Blanco)</w:t>
      </w:r>
    </w:p>
    <w:p>
      <w:pPr>
        <w:spacing w:after="80"/>
      </w:pPr>
      <w:r>
        <w:rPr>
          <w:sz w:val="18"/>
        </w:rPr>
        <w:t>Las notificaciones push envian la carga util completa (titulo, texto e imagenes). El Service Worker guarda los datos en IndexedDB en segundo plano antes de que el usuario abra la app. Si el estudiante abre la notificacion sin internet, el contenido se muestra directamente desde la base de datos local sin pantallas en blanco.</w:t>
      </w:r>
    </w:p>
    <w:p>
      <w:pPr>
        <w:pStyle w:val="Heading1"/>
      </w:pPr>
      <w:r>
        <w:rPr>
          <w:rFonts w:ascii="Arial" w:hAnsi="Arial"/>
          <w:b/>
          <w:color w:val="14461E"/>
          <w:sz w:val="24"/>
        </w:rPr>
        <w:t>4. Modulos y Pantallas</w:t>
      </w:r>
    </w:p>
    <w:p>
      <w:pPr>
        <w:spacing w:before="80" w:after="20"/>
      </w:pPr>
      <w:r>
        <w:rPr>
          <w:b/>
          <w:color w:val="1E5028"/>
          <w:sz w:val="19"/>
        </w:rPr>
        <w:t>Landing Page de Escritorio</w:t>
      </w:r>
    </w:p>
    <w:p>
      <w:pPr>
        <w:spacing w:after="80"/>
      </w:pPr>
      <w:r>
        <w:rPr>
          <w:sz w:val="18"/>
        </w:rPr>
        <w:t>Contiene un solo codigo QR para escanear e instalar la PWA en el celular, dos capturas de pantalla de la interfaz y un enlace para administradores.</w:t>
      </w:r>
    </w:p>
    <w:p>
      <w:pPr>
        <w:spacing w:before="80" w:after="20"/>
      </w:pPr>
      <w:r>
        <w:rPr>
          <w:b/>
          <w:color w:val="1E5028"/>
          <w:sz w:val="19"/>
        </w:rPr>
        <w:t>Pestana Inicio</w:t>
      </w:r>
    </w:p>
    <w:p>
      <w:pPr>
        <w:spacing w:after="80"/>
      </w:pPr>
      <w:r>
        <w:rPr>
          <w:sz w:val="18"/>
        </w:rPr>
        <w:t>Avisos urgentes con fecha de vencimiento automatico ('Visible hasta'), eventos con boton para inscribirse y cancelar inscripcion, y vista modal a pantalla completa para todas las publicaciones.</w:t>
      </w:r>
    </w:p>
    <w:p>
      <w:pPr>
        <w:spacing w:before="80" w:after="20"/>
      </w:pPr>
      <w:r>
        <w:rPr>
          <w:b/>
          <w:color w:val="1E5028"/>
          <w:sz w:val="19"/>
        </w:rPr>
        <w:t>Pestana Agenda</w:t>
      </w:r>
    </w:p>
    <w:p>
      <w:pPr>
        <w:spacing w:after="80"/>
      </w:pPr>
      <w:r>
        <w:rPr>
          <w:sz w:val="18"/>
        </w:rPr>
        <w:t>Vista dual (cronologica arriba y mensual abajo), tareas de Google Classroom con estado (pendiente o entregado) y atenuacion visual de eventos donde el alumno marco 'No asistire'.</w:t>
      </w:r>
    </w:p>
    <w:p>
      <w:pPr>
        <w:spacing w:before="80" w:after="20"/>
      </w:pPr>
      <w:r>
        <w:rPr>
          <w:b/>
          <w:color w:val="1E5028"/>
          <w:sz w:val="19"/>
        </w:rPr>
        <w:t>Pestana Perfil</w:t>
      </w:r>
    </w:p>
    <w:p>
      <w:pPr>
        <w:spacing w:after="80"/>
      </w:pPr>
      <w:r>
        <w:rPr>
          <w:sz w:val="18"/>
        </w:rPr>
        <w:t>Datos del usuario, boton de cierre de sesion, indicador de memoria offline con boton de vaciado de cache, modo oscuro/claro y conmutador beta para futuras funciones.</w:t>
      </w:r>
    </w:p>
    <w:p>
      <w:pPr>
        <w:spacing w:before="80" w:after="20"/>
      </w:pPr>
      <w:r>
        <w:rPr>
          <w:b/>
          <w:color w:val="1E5028"/>
          <w:sz w:val="19"/>
        </w:rPr>
        <w:t>Panel de Marketing (Escritorio)</w:t>
      </w:r>
    </w:p>
    <w:p>
      <w:pPr>
        <w:spacing w:after="80"/>
      </w:pPr>
      <w:r>
        <w:rPr>
          <w:sz w:val="18"/>
        </w:rPr>
        <w:t>Feed cronologico de 'Entradas', contador de impresiones unicas, conteo de inscritos/desinscritos con lista nominal, temporizador de recordatorios y ventana separada para gestion de grupos.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