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4461E"/>
          <w:sz w:val="36"/>
        </w:rPr>
        <w:t>UPA App: Especificación Técnica y Funcional</w:t>
      </w:r>
    </w:p>
    <w:p>
      <w:pPr>
        <w:spacing w:after="240"/>
      </w:pPr>
      <w:r>
        <w:rPr>
          <w:rFonts w:ascii="Arial" w:hAnsi="Arial"/>
          <w:i/>
          <w:color w:val="5A5A5A"/>
          <w:sz w:val="20"/>
        </w:rPr>
        <w:t>Plataforma Universitaria Central PWA | Universidad Paraguayo Alemana</w:t>
      </w:r>
    </w:p>
    <w:tbl>
      <w:tblPr>
        <w:tblW w:type="auto" w:w="0"/>
        <w:jc w:val="center"/>
        <w:tblLook w:firstColumn="1" w:firstRow="1" w:lastColumn="0" w:lastRow="0" w:noHBand="0" w:noVBand="1" w:val="04A0"/>
      </w:tblPr>
      <w:tblGrid>
        <w:gridCol w:w="4680"/>
        <w:gridCol w:w="4680"/>
      </w:tblGrid>
      <w:tr>
        <w:tc>
          <w:tcPr>
            <w:tcW w:type="dxa" w:w="2880"/>
            <w:shd w:val="clear" w:color="auto" w:fill="F5F7F5"/>
          </w:tcPr>
          <w:p>
            <w:pPr>
              <w:spacing w:after="20"/>
            </w:pPr>
            <w:r>
              <w:rPr>
                <w:b/>
                <w:sz w:val="18"/>
              </w:rPr>
              <w:t>Proyecto:</w:t>
            </w:r>
          </w:p>
        </w:tc>
        <w:tc>
          <w:tcPr>
            <w:tcW w:type="dxa" w:w="6480"/>
            <w:shd w:val="clear" w:color="auto" w:fill="FFFFFF"/>
          </w:tcPr>
          <w:p>
            <w:pPr>
              <w:spacing w:after="20"/>
            </w:pPr>
            <w:r>
              <w:rPr>
                <w:sz w:val="18"/>
              </w:rPr>
              <w:t>UPA App</w:t>
            </w:r>
          </w:p>
        </w:tc>
      </w:tr>
      <w:tr>
        <w:tc>
          <w:tcPr>
            <w:tcW w:type="dxa" w:w="2880"/>
            <w:shd w:val="clear" w:color="auto" w:fill="F5F7F5"/>
          </w:tcPr>
          <w:p>
            <w:pPr>
              <w:spacing w:after="20"/>
            </w:pPr>
            <w:r>
              <w:rPr>
                <w:b/>
                <w:sz w:val="18"/>
              </w:rPr>
              <w:t>Dirección de Producto:</w:t>
            </w:r>
          </w:p>
        </w:tc>
        <w:tc>
          <w:tcPr>
            <w:tcW w:type="dxa" w:w="6480"/>
            <w:shd w:val="clear" w:color="auto" w:fill="FFFFFF"/>
          </w:tcPr>
          <w:p>
            <w:pPr>
              <w:spacing w:after="20"/>
            </w:pPr>
            <w:r>
              <w:rPr>
                <w:sz w:val="18"/>
              </w:rPr>
              <w:t>Pascal Thommen</w:t>
            </w:r>
          </w:p>
        </w:tc>
      </w:tr>
      <w:tr>
        <w:tc>
          <w:tcPr>
            <w:tcW w:type="dxa" w:w="2880"/>
            <w:shd w:val="clear" w:color="auto" w:fill="F5F7F5"/>
          </w:tcPr>
          <w:p>
            <w:pPr>
              <w:spacing w:after="20"/>
            </w:pPr>
            <w:r>
              <w:rPr>
                <w:b/>
                <w:sz w:val="18"/>
              </w:rPr>
              <w:t>Equipo de Desarrollo:</w:t>
            </w:r>
          </w:p>
        </w:tc>
        <w:tc>
          <w:tcPr>
            <w:tcW w:type="dxa" w:w="6480"/>
            <w:shd w:val="clear" w:color="auto" w:fill="FFFFFF"/>
          </w:tcPr>
          <w:p>
            <w:pPr>
              <w:spacing w:after="20"/>
            </w:pPr>
            <w:r>
              <w:rPr>
                <w:sz w:val="18"/>
              </w:rPr>
              <w:t>Theresa Bauer, Natasha</w:t>
            </w:r>
          </w:p>
        </w:tc>
      </w:tr>
      <w:tr>
        <w:tc>
          <w:tcPr>
            <w:tcW w:type="dxa" w:w="2880"/>
            <w:shd w:val="clear" w:color="auto" w:fill="F5F7F5"/>
          </w:tcPr>
          <w:p>
            <w:pPr>
              <w:spacing w:after="20"/>
            </w:pPr>
            <w:r>
              <w:rPr>
                <w:b/>
                <w:sz w:val="18"/>
              </w:rPr>
              <w:t>Fecha:</w:t>
            </w:r>
          </w:p>
        </w:tc>
        <w:tc>
          <w:tcPr>
            <w:tcW w:type="dxa" w:w="6480"/>
            <w:shd w:val="clear" w:color="auto" w:fill="FFFFFF"/>
          </w:tcPr>
          <w:p>
            <w:pPr>
              <w:spacing w:after="20"/>
            </w:pPr>
            <w:r>
              <w:rPr>
                <w:sz w:val="18"/>
              </w:rPr>
              <w:t>Octubre 2026</w:t>
            </w:r>
          </w:p>
        </w:tc>
      </w:tr>
    </w:tbl>
    <w:p>
      <w:pPr>
        <w:spacing w:after="160"/>
      </w:pPr>
    </w:p>
    <w:p>
      <w:pPr>
        <w:pStyle w:val="Heading1"/>
      </w:pPr>
      <w:r>
        <w:rPr>
          <w:rFonts w:ascii="Arial" w:hAnsi="Arial"/>
          <w:b/>
          <w:color w:val="14461E"/>
          <w:sz w:val="24"/>
        </w:rPr>
        <w:t>1. Justificación de Decisiones Tecnológicas</w:t>
      </w:r>
    </w:p>
    <w:p>
      <w:pPr>
        <w:spacing w:before="80" w:after="20"/>
      </w:pPr>
      <w:r>
        <w:rPr>
          <w:b/>
          <w:color w:val="1E5028"/>
          <w:sz w:val="19"/>
        </w:rPr>
        <w:t>Arquitectura PWA frente a Nativo Dual y Flutter</w:t>
      </w:r>
    </w:p>
    <w:p>
      <w:pPr>
        <w:spacing w:after="80"/>
      </w:pPr>
      <w:r>
        <w:rPr>
          <w:sz w:val="18"/>
        </w:rPr>
        <w:t>El 80% de los estudiantes de la UPA utiliza iPhone. Desarrollar dos aplicaciones nativas (Kotlin y Swift) duplica el tiempo de desarrollo y exige hardware Mac con suscripciones anuales pagas (99 USD) para compilar. Frameworks como Flutter tampoco eliminan el requisito de Mac para compilar en iOS. La PWA se distribuye directamente mediante Safari ('Añadir a pantalla de inicio') sin intermediación de tiendas ni costos de licencia. Para Android, el mismo código se empaqueta opcionalmente como APK mediante Trusted Web Activity (TWA).</w:t>
      </w:r>
    </w:p>
    <w:p>
      <w:pPr>
        <w:spacing w:before="80" w:after="20"/>
      </w:pPr>
      <w:r>
        <w:rPr>
          <w:b/>
          <w:color w:val="1E5028"/>
          <w:sz w:val="19"/>
        </w:rPr>
        <w:t>Canal Social: Instagram frente a TikTok, Facebook y LinkedIn</w:t>
      </w:r>
    </w:p>
    <w:p>
      <w:pPr>
        <w:spacing w:after="80"/>
      </w:pPr>
      <w:r>
        <w:rPr>
          <w:sz w:val="18"/>
        </w:rPr>
        <w:t>Instagram es el canal activo donde el departamento de marketing de la UPA publica diariamente comunicados y eventos. TikTok se descarta por enfocarse en video vertical de entretenimiento; Facebook carece de adopción en estudiantes de 18 a 24 años en Paraguay; LinkedIn se orienta a graduados y empresas externas. Se utiliza la API de SociableKIT para extraer datos limpios en formato JSON sin demoras burocráticas de aprobación en Meta.</w:t>
      </w:r>
    </w:p>
    <w:p>
      <w:pPr>
        <w:spacing w:before="80" w:after="20"/>
      </w:pPr>
      <w:r>
        <w:rPr>
          <w:b/>
          <w:color w:val="1E5028"/>
          <w:sz w:val="19"/>
        </w:rPr>
        <w:t>Backend en Python (FastAPI) frente a Java (Spring Boot)</w:t>
      </w:r>
    </w:p>
    <w:p>
      <w:pPr>
        <w:spacing w:after="80"/>
      </w:pPr>
      <w:r>
        <w:rPr>
          <w:sz w:val="18"/>
        </w:rPr>
        <w:t>FastAPI reduce el código base en más de un 60% frente a Spring Boot, eliminando la sobrecarga de configuración y DTOs repetitivos. Genera documentación Swagger interactiva automática en /docs para coordinar contratos de datos con el frontend y cuenta con librerías asíncronas nativas para conectar Google Workspace.</w:t>
      </w:r>
    </w:p>
    <w:p>
      <w:pPr>
        <w:spacing w:before="80" w:after="20"/>
      </w:pPr>
      <w:r>
        <w:rPr>
          <w:b/>
          <w:color w:val="1E5028"/>
          <w:sz w:val="19"/>
        </w:rPr>
        <w:t>Acceso Restringido con Google OAuth (@upa.edu.py)</w:t>
      </w:r>
    </w:p>
    <w:p>
      <w:pPr>
        <w:spacing w:after="80"/>
      </w:pPr>
      <w:r>
        <w:rPr>
          <w:sz w:val="18"/>
        </w:rPr>
        <w:t>La información académica y de campus es privada. Se descarta el registro libre con usuario y contraseña para evitar spam, cuentas falsas y mantenimiento de servidores de correo propios. El inicio de sesión se restringe exclusivamente al dominio institucional, validando la identidad del alumno y vinculando automáticamente Google Classroom y los grupos de estudio.</w:t>
      </w:r>
    </w:p>
    <w:p>
      <w:pPr>
        <w:pStyle w:val="Heading1"/>
      </w:pPr>
      <w:r>
        <w:rPr>
          <w:rFonts w:ascii="Arial" w:hAnsi="Arial"/>
          <w:b/>
          <w:color w:val="14461E"/>
          <w:sz w:val="24"/>
        </w:rPr>
        <w:t>2. Definición de Usuarios y Casos de Uso</w:t>
      </w:r>
    </w:p>
    <w:p>
      <w:pPr>
        <w:spacing w:before="80" w:after="20"/>
      </w:pPr>
      <w:r>
        <w:rPr>
          <w:b/>
          <w:color w:val="1E5028"/>
          <w:sz w:val="19"/>
        </w:rPr>
        <w:t>Estudiantes de Grado</w:t>
      </w:r>
    </w:p>
    <w:p>
      <w:pPr>
        <w:spacing w:after="80"/>
      </w:pPr>
      <w:r>
        <w:rPr>
          <w:sz w:val="18"/>
        </w:rPr>
        <w:t>Consultar avisos urgentes (como suspensión de clases por tormenta), inscribirse y cancelar asistencia a conferencias extracurriculares en un clic y dar seguimiento a fechas límites de Google Classroom en su calendario personal.</w:t>
      </w:r>
    </w:p>
    <w:p>
      <w:pPr>
        <w:spacing w:before="80" w:after="20"/>
      </w:pPr>
      <w:r>
        <w:rPr>
          <w:b/>
          <w:color w:val="1E5028"/>
          <w:sz w:val="19"/>
        </w:rPr>
        <w:t>Personal Docente</w:t>
      </w:r>
    </w:p>
    <w:p>
      <w:pPr>
        <w:spacing w:after="80"/>
      </w:pPr>
      <w:r>
        <w:rPr>
          <w:sz w:val="18"/>
        </w:rPr>
        <w:t>Visualizar el cronograma de fechas límites de entregas de sus cursos y acceder a los comunicados oficiales de decanato.</w:t>
      </w:r>
    </w:p>
    <w:p>
      <w:pPr>
        <w:spacing w:before="80" w:after="20"/>
      </w:pPr>
      <w:r>
        <w:rPr>
          <w:b/>
          <w:color w:val="1E5028"/>
          <w:sz w:val="19"/>
        </w:rPr>
        <w:t>Marketing y Administración</w:t>
      </w:r>
    </w:p>
    <w:p>
      <w:pPr>
        <w:spacing w:after="80"/>
      </w:pPr>
      <w:r>
        <w:rPr>
          <w:sz w:val="18"/>
        </w:rPr>
        <w:t>Gestionar contenidos desde la computadora de escritorio mediante el portal administrativo. Crear publicaciones, vincularlas al calendario de eventos y definir la segmentación por carreras mediante grupos de Google Workspace.</w:t>
      </w:r>
    </w:p>
    <w:p>
      <w:pPr>
        <w:spacing w:before="80" w:after="20"/>
      </w:pPr>
      <w:r>
        <w:rPr>
          <w:b/>
          <w:color w:val="1E5028"/>
          <w:sz w:val="19"/>
        </w:rPr>
        <w:t>Usuarios Externos</w:t>
      </w:r>
    </w:p>
    <w:p>
      <w:pPr>
        <w:spacing w:after="80"/>
      </w:pPr>
      <w:r>
        <w:rPr>
          <w:sz w:val="18"/>
        </w:rPr>
        <w:t>Acceso bloqueado. La plataforma requiere autenticación institucional obligatoria para proteger la privacidad de la comunidad estudiantil.</w:t>
      </w:r>
    </w:p>
    <w:p>
      <w:pPr>
        <w:pStyle w:val="Heading1"/>
      </w:pPr>
      <w:r>
        <w:rPr>
          <w:rFonts w:ascii="Arial" w:hAnsi="Arial"/>
          <w:b/>
          <w:color w:val="14461E"/>
          <w:sz w:val="24"/>
        </w:rPr>
        <w:t>3. Arquitectura Offline y Notificaciones</w:t>
      </w:r>
    </w:p>
    <w:p>
      <w:pPr>
        <w:spacing w:before="60" w:after="20"/>
      </w:pPr>
      <w:r>
        <w:rPr>
          <w:b/>
          <w:color w:val="1E5028"/>
          <w:sz w:val="19"/>
        </w:rPr>
        <w:t>Problema en aplicaciones convencionales:</w:t>
      </w:r>
    </w:p>
    <w:p>
      <w:pPr>
        <w:spacing w:after="80"/>
      </w:pPr>
      <w:r>
        <w:rPr>
          <w:sz w:val="18"/>
        </w:rPr>
        <w:t>Las notificaciones push convencionales solo alertan al sistema operativo. Si el usuario abre la aplicación en un aula sin cobertura o sin saldo de datos, la vista intenta consultar la red en ese instante, falla y muestra una pantalla vacía.</w:t>
      </w:r>
    </w:p>
    <w:p>
      <w:pPr>
        <w:spacing w:before="60" w:after="20"/>
      </w:pPr>
      <w:r>
        <w:rPr>
          <w:b/>
          <w:color w:val="1E5028"/>
          <w:sz w:val="19"/>
        </w:rPr>
        <w:t>Solución técnica implementada:</w:t>
      </w:r>
    </w:p>
    <w:p>
      <w:pPr>
        <w:spacing w:after="80"/>
      </w:pPr>
      <w:r>
        <w:rPr>
          <w:sz w:val="18"/>
        </w:rPr>
        <w:t>El servidor envía la notificación Web Push con la carga útil completa (título, cuerpo completo, fecha e imágenes). El Service Worker intercepta el evento en segundo plano antes de la interacción del usuario y almacena los datos de forma atómica en IndexedDB y Cache Storage. Al abrir la app sin conexión, la interfaz lee directamente del almacenamiento local, garantizando visualización inmediata.</w:t>
      </w:r>
    </w:p>
    <w:p>
      <w:pPr>
        <w:pStyle w:val="Heading1"/>
      </w:pPr>
      <w:r>
        <w:rPr>
          <w:rFonts w:ascii="Arial" w:hAnsi="Arial"/>
          <w:b/>
          <w:color w:val="14461E"/>
          <w:sz w:val="24"/>
        </w:rPr>
        <w:t>4. Especificación Funcional de Pantallas</w:t>
      </w:r>
    </w:p>
    <w:p>
      <w:pPr>
        <w:spacing w:before="80" w:after="20"/>
      </w:pPr>
      <w:r>
        <w:rPr>
          <w:b/>
          <w:color w:val="1E5028"/>
          <w:sz w:val="19"/>
        </w:rPr>
        <w:t>Página de Inicio en Escritorio (Landing Page)</w:t>
      </w:r>
    </w:p>
    <w:p>
      <w:pPr>
        <w:spacing w:after="80"/>
      </w:pPr>
      <w:r>
        <w:rPr>
          <w:sz w:val="18"/>
        </w:rPr>
        <w:t>Muestra un único código QR para instalación inmediata de la PWA en el celular, dos capturas de pantalla de la interfaz móvil (Feed y Agenda) y un enlace para el acceso de administradores desde la PC.</w:t>
      </w:r>
    </w:p>
    <w:p>
      <w:pPr>
        <w:spacing w:before="80" w:after="20"/>
      </w:pPr>
      <w:r>
        <w:rPr>
          <w:b/>
          <w:color w:val="1E5028"/>
          <w:sz w:val="19"/>
        </w:rPr>
        <w:t>Pestaña 1: Inicio (Feed Central)</w:t>
      </w:r>
    </w:p>
    <w:p>
      <w:pPr>
        <w:spacing w:after="80"/>
      </w:pPr>
      <w:r>
        <w:rPr>
          <w:sz w:val="18"/>
        </w:rPr>
        <w:t>Avisos prioritarios de emergencia con fecha y hora de expiración automática ('Visible hasta'). Tarjetas de eventos con botones directos para inscribirse y cancelar inscripción. Al pulsar cualquier elemento, se despliega una vista modal a pantalla completa con texto completo, imágenes en alta resolución y botón de cierre.</w:t>
      </w:r>
    </w:p>
    <w:p>
      <w:pPr>
        <w:spacing w:before="80" w:after="20"/>
      </w:pPr>
      <w:r>
        <w:rPr>
          <w:b/>
          <w:color w:val="1E5028"/>
          <w:sz w:val="19"/>
        </w:rPr>
        <w:t>Pestaña 2: Agenda (Calendario)</w:t>
      </w:r>
    </w:p>
    <w:p>
      <w:pPr>
        <w:spacing w:after="80"/>
      </w:pPr>
      <w:r>
        <w:rPr>
          <w:sz w:val="18"/>
        </w:rPr>
        <w:t>Vista dual con lista cronológica superior y calendario mensual inferior con puntos indicadores. Tareas de Google Classroom con estado (pendiente o entregado), fecha límite y enlace directo a Classroom. Los eventos marcados como 'No asistiré' se muestran atenuados y dejan de enviar recordatorios.</w:t>
      </w:r>
    </w:p>
    <w:p>
      <w:pPr>
        <w:spacing w:before="80" w:after="20"/>
      </w:pPr>
      <w:r>
        <w:rPr>
          <w:b/>
          <w:color w:val="1E5028"/>
          <w:sz w:val="19"/>
        </w:rPr>
        <w:t>Pestaña 3: Perfil</w:t>
      </w:r>
    </w:p>
    <w:p>
      <w:pPr>
        <w:spacing w:after="80"/>
      </w:pPr>
      <w:r>
        <w:rPr>
          <w:sz w:val="18"/>
        </w:rPr>
        <w:t>Datos del estudiante (nombre, foto, correo institucional verificado, carrera y semestre), botón de cierre de sesión seguro, visor de espacio de memoria offline con botón de vaciado de caché, selector de modo oscuro/claro y conmutador beta para consulta de notas futuras.</w:t>
      </w:r>
    </w:p>
    <w:p>
      <w:pPr>
        <w:pStyle w:val="Heading1"/>
      </w:pPr>
      <w:r>
        <w:rPr>
          <w:rFonts w:ascii="Arial" w:hAnsi="Arial"/>
          <w:b/>
          <w:color w:val="14461E"/>
          <w:sz w:val="24"/>
        </w:rPr>
        <w:t>5. Panel Administrativo de Marketing (Escritorio)</w:t>
      </w:r>
    </w:p>
    <w:p>
      <w:pPr>
        <w:spacing w:before="80" w:after="20"/>
      </w:pPr>
      <w:r>
        <w:rPr>
          <w:b/>
          <w:color w:val="1E5028"/>
          <w:sz w:val="19"/>
        </w:rPr>
        <w:t>Feed de Entradas</w:t>
      </w:r>
    </w:p>
    <w:p>
      <w:pPr>
        <w:spacing w:after="80"/>
      </w:pPr>
      <w:r>
        <w:rPr>
          <w:sz w:val="18"/>
        </w:rPr>
        <w:t>Registro unificado de objetos (Aviso, Noticia, Evento o Híbrido) ordenados cronológicamente desde el más reciente al más antiguo.</w:t>
      </w:r>
    </w:p>
    <w:p>
      <w:pPr>
        <w:spacing w:before="80" w:after="20"/>
      </w:pPr>
      <w:r>
        <w:rPr>
          <w:b/>
          <w:color w:val="1E5028"/>
          <w:sz w:val="19"/>
        </w:rPr>
        <w:t>Métricas de Alcance Real y Asistencia</w:t>
      </w:r>
    </w:p>
    <w:p>
      <w:pPr>
        <w:spacing w:after="80"/>
      </w:pPr>
      <w:r>
        <w:rPr>
          <w:sz w:val="18"/>
        </w:rPr>
        <w:t>Contador de impresiones únicas que registra a cuántos estudiantes individuales se les mostró la publicación. Conteo en vivo de inscritos y cancelados con lista nominal de alumnos y sus carreras al abrir la entrada.</w:t>
      </w:r>
    </w:p>
    <w:p>
      <w:pPr>
        <w:spacing w:before="80" w:after="20"/>
      </w:pPr>
      <w:r>
        <w:rPr>
          <w:b/>
          <w:color w:val="1E5028"/>
          <w:sz w:val="19"/>
        </w:rPr>
        <w:t>Sinergia de Contenido y Recordatorios</w:t>
      </w:r>
    </w:p>
    <w:p>
      <w:pPr>
        <w:spacing w:after="80"/>
      </w:pPr>
      <w:r>
        <w:rPr>
          <w:sz w:val="18"/>
        </w:rPr>
        <w:t>Al vincular noticias de Instagram con fechas de actividades, el sistema autocompleta el texto para el calendario. Permite programar la antelación de las notificaciones push (ej. 1 día antes para eventos de fin de semana o 30 minutos antes para charlas en Aula Magna).</w:t>
      </w:r>
    </w:p>
    <w:p>
      <w:pPr>
        <w:spacing w:before="80" w:after="20"/>
      </w:pPr>
      <w:r>
        <w:rPr>
          <w:b/>
          <w:color w:val="1E5028"/>
          <w:sz w:val="19"/>
        </w:rPr>
        <w:t>Gestión de Grupos Independiente</w:t>
      </w:r>
    </w:p>
    <w:p>
      <w:pPr>
        <w:spacing w:after="80"/>
      </w:pPr>
      <w:r>
        <w:rPr>
          <w:sz w:val="18"/>
        </w:rPr>
        <w:t>Ventana separada para crear meta-grupos combinando correos manuales y grupos sincronizados de Google Workspace Admin Console.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