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Quarterly Risk Update – Q2 2025</w:t>
      </w:r>
    </w:p>
    <w:p>
      <w:pPr>
        <w:pStyle w:val="Heading1"/>
      </w:pPr>
      <w:r>
        <w:t>1. Executive Summary</w:t>
      </w:r>
    </w:p>
    <w:p>
      <w:r>
        <w:t>This report summarizes key risk indicators (KRIs) to provide management with insight into risk posture, control effectiveness, and compliance health.</w:t>
      </w:r>
    </w:p>
    <w:p>
      <w:pPr>
        <w:pStyle w:val="Heading1"/>
      </w:pPr>
      <w:r>
        <w:t>2. Key Highlights</w:t>
      </w:r>
    </w:p>
    <w:p>
      <w:r>
        <w:t>• 3 audit findings remain open but are within remediation timelines.</w:t>
        <w:br/>
        <w:t>• Incident response times increased due to staff turnover.</w:t>
        <w:br/>
        <w:t>• High-risk vendor count increased following onboarding of two cloud providers.</w:t>
      </w:r>
    </w:p>
    <w:p>
      <w:pPr>
        <w:pStyle w:val="Heading1"/>
      </w:pPr>
      <w:r>
        <w:t>3. Risk Indicator Overview</w:t>
      </w:r>
    </w:p>
    <w:p>
      <w:r>
        <w:t>A visual dashboard tracks 6 core KRIs across risk, audit, training, and vulnerability management. Red items require immediate action and will be prioritized in the next cycle.</w:t>
      </w:r>
    </w:p>
    <w:p>
      <w:pPr>
        <w:pStyle w:val="Heading1"/>
      </w:pPr>
      <w:r>
        <w:t>4. Recommendations</w:t>
      </w:r>
    </w:p>
    <w:p>
      <w:r>
        <w:t>• Review SLA adherence for incident response.</w:t>
        <w:br/>
        <w:t>• Escalate vendor risk reassessment.</w:t>
        <w:br/>
        <w:t>• Launch catch-up security training for untrained staff.</w:t>
      </w:r>
    </w:p>
    <w:p>
      <w:pPr>
        <w:pStyle w:val="Heading2"/>
      </w:pPr>
      <w:r>
        <w:t>Prepared by:</w:t>
      </w:r>
    </w:p>
    <w:p>
      <w:r>
        <w:t>GRC Analyst Team – May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